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396" w:rsidRDefault="00B823E2">
      <w:pPr>
        <w:pStyle w:val="Heading1"/>
      </w:pPr>
      <w:bookmarkStart w:id="0" w:name="_gjdgxs"/>
      <w:bookmarkStart w:id="1" w:name="_GoBack"/>
      <w:bookmarkEnd w:id="0"/>
      <w:bookmarkEnd w:id="1"/>
      <w:r>
        <w:t>Joint Schedule 1 (Definitions)</w:t>
      </w:r>
    </w:p>
    <w:p w:rsidR="00CB1396" w:rsidRDefault="00B823E2">
      <w:pPr>
        <w:pStyle w:val="Standard"/>
        <w:numPr>
          <w:ilvl w:val="1"/>
          <w:numId w:val="20"/>
        </w:numPr>
        <w:tabs>
          <w:tab w:val="left" w:pos="1418"/>
        </w:tabs>
        <w:spacing w:before="120" w:after="120" w:line="240" w:lineRule="auto"/>
        <w:ind w:left="284"/>
        <w:jc w:val="both"/>
      </w:pPr>
      <w:r>
        <w:rPr>
          <w:rFonts w:ascii="Arial" w:eastAsia="Arial" w:hAnsi="Arial" w:cs="Arial"/>
          <w:color w:val="000000"/>
          <w:sz w:val="24"/>
          <w:szCs w:val="24"/>
        </w:rPr>
        <w:t xml:space="preserve">In each Contract, unless the context otherwise requires, capitalised expressions shall have the meanings set out in this Joint Schedule 1 (Definitions) </w:t>
      </w:r>
      <w:r>
        <w:rPr>
          <w:rFonts w:ascii="Arial" w:eastAsia="Arial" w:hAnsi="Arial" w:cs="Arial"/>
          <w:color w:val="000000"/>
          <w:sz w:val="24"/>
          <w:szCs w:val="24"/>
        </w:rPr>
        <w:t>or the relevant Schedule in which that capitalised expression appears.</w:t>
      </w:r>
    </w:p>
    <w:p w:rsidR="00CB1396" w:rsidRDefault="00B823E2">
      <w:pPr>
        <w:pStyle w:val="Standard"/>
        <w:numPr>
          <w:ilvl w:val="1"/>
          <w:numId w:val="20"/>
        </w:numPr>
        <w:tabs>
          <w:tab w:val="left" w:pos="1418"/>
        </w:tabs>
        <w:spacing w:before="120" w:after="120" w:line="240" w:lineRule="auto"/>
        <w:ind w:left="284"/>
        <w:jc w:val="both"/>
      </w:pPr>
      <w:bookmarkStart w:id="2" w:name="_1fob9te"/>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w:t>
      </w:r>
      <w:r>
        <w:rPr>
          <w:rFonts w:ascii="Arial" w:eastAsia="Arial" w:hAnsi="Arial" w:cs="Arial"/>
          <w:color w:val="000000"/>
          <w:sz w:val="24"/>
          <w:szCs w:val="24"/>
        </w:rPr>
        <w:t>etation within the relevant market sector/industry where appropriate. Otherwise, it shall be interpreted in accordance with the dictionary meaning.</w:t>
      </w:r>
    </w:p>
    <w:p w:rsidR="00CB1396" w:rsidRDefault="00B823E2">
      <w:pPr>
        <w:pStyle w:val="Standard"/>
        <w:keepNext/>
        <w:numPr>
          <w:ilvl w:val="1"/>
          <w:numId w:val="20"/>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the singular includes the plural and vice versa;</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re</w:t>
      </w:r>
      <w:r>
        <w:rPr>
          <w:rFonts w:ascii="Arial" w:eastAsia="Arial" w:hAnsi="Arial" w:cs="Arial"/>
          <w:color w:val="000000"/>
          <w:sz w:val="24"/>
          <w:szCs w:val="24"/>
        </w:rPr>
        <w:t>ference to a gender includes the other gender and the neuter;</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a reference to</w:t>
      </w:r>
      <w:r>
        <w:rPr>
          <w:rFonts w:ascii="Arial" w:eastAsia="Arial" w:hAnsi="Arial" w:cs="Arial"/>
          <w:color w:val="000000"/>
          <w:sz w:val="24"/>
          <w:szCs w:val="24"/>
        </w:rPr>
        <w:t xml:space="preserve"> any Law includes a reference to that Law as amended, extended, consolidated or re-enacted from time to time;</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w:t>
      </w:r>
      <w:r>
        <w:rPr>
          <w:rFonts w:ascii="Arial" w:eastAsia="Arial" w:hAnsi="Arial" w:cs="Arial"/>
          <w:color w:val="000000"/>
          <w:sz w:val="24"/>
          <w:szCs w:val="24"/>
        </w:rPr>
        <w:t>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w:t>
      </w:r>
      <w:r>
        <w:rPr>
          <w:rFonts w:ascii="Arial" w:eastAsia="Arial" w:hAnsi="Arial" w:cs="Arial"/>
          <w:color w:val="000000"/>
          <w:sz w:val="24"/>
          <w:szCs w:val="24"/>
        </w:rPr>
        <w:t>producing words in a visible form, and expressions referring to writing shall be construed accordingly;</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w:t>
      </w:r>
      <w:r>
        <w:rPr>
          <w:rFonts w:ascii="Arial" w:eastAsia="Arial" w:hAnsi="Arial" w:cs="Arial"/>
          <w:b/>
          <w:color w:val="000000"/>
          <w:sz w:val="24"/>
          <w:szCs w:val="24"/>
        </w:rPr>
        <w:t>ertakings"</w:t>
      </w:r>
      <w:r>
        <w:rPr>
          <w:rFonts w:ascii="Arial" w:eastAsia="Arial" w:hAnsi="Arial" w:cs="Arial"/>
          <w:color w:val="000000"/>
          <w:sz w:val="24"/>
          <w:szCs w:val="24"/>
        </w:rPr>
        <w:t xml:space="preserve"> as references to obligations under the Contract;</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w:t>
      </w:r>
      <w:r>
        <w:rPr>
          <w:rFonts w:ascii="Arial" w:eastAsia="Arial" w:hAnsi="Arial" w:cs="Arial"/>
          <w:color w:val="000000"/>
          <w:sz w:val="24"/>
          <w:szCs w:val="24"/>
        </w:rPr>
        <w:t>tables are, unless otherwise provided, references to the parts, paragraphs, annexes and tables of the Schedule in which these references appear;</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series of Clauses or Paragraphs shall be inclusive of the clause numbers specified;</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the headings in each Contract are for </w:t>
      </w:r>
      <w:r>
        <w:rPr>
          <w:rFonts w:ascii="Arial" w:eastAsia="Arial" w:hAnsi="Arial" w:cs="Arial"/>
          <w:color w:val="000000"/>
          <w:sz w:val="24"/>
          <w:szCs w:val="24"/>
        </w:rPr>
        <w:t>ease of reference only and shall not affect the interpretation or construction of a Contract;</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where the Buyer is a Central Government Body it shall be treated as contracting with the Crown as a whole;</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any reference in a Contract which immediately before E</w:t>
      </w:r>
      <w:r>
        <w:rPr>
          <w:rFonts w:ascii="Arial" w:eastAsia="Arial" w:hAnsi="Arial" w:cs="Arial"/>
          <w:color w:val="000000"/>
          <w:sz w:val="24"/>
          <w:szCs w:val="24"/>
        </w:rPr>
        <w:t xml:space="preserve">xit Day is a reference </w:t>
      </w:r>
      <w:r>
        <w:rPr>
          <w:rFonts w:ascii="Arial" w:eastAsia="Arial" w:hAnsi="Arial" w:cs="Arial"/>
          <w:color w:val="000000"/>
          <w:sz w:val="24"/>
          <w:szCs w:val="24"/>
        </w:rPr>
        <w:lastRenderedPageBreak/>
        <w:t>to (as it has effect from time to time):</w:t>
      </w:r>
    </w:p>
    <w:p w:rsidR="00CB1396" w:rsidRDefault="00B823E2">
      <w:pPr>
        <w:pStyle w:val="Standard"/>
        <w:numPr>
          <w:ilvl w:val="3"/>
          <w:numId w:val="20"/>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w:t>
      </w:r>
      <w:r>
        <w:rPr>
          <w:rFonts w:ascii="Arial" w:eastAsia="Arial" w:hAnsi="Arial" w:cs="Arial"/>
          <w:color w:val="000000"/>
          <w:sz w:val="24"/>
          <w:szCs w:val="24"/>
        </w:rPr>
        <w:t>ion (Withdrawal) Act 2018 shall be read on and after Exit Day as a reference to the EU References as they form part of domestic law by virtue of section 3 of the European Union (Withdrawal) Act 2018 as modified by domestic law from time to time; and</w:t>
      </w:r>
    </w:p>
    <w:p w:rsidR="00CB1396" w:rsidRDefault="00B823E2">
      <w:pPr>
        <w:pStyle w:val="Standard"/>
        <w:numPr>
          <w:ilvl w:val="3"/>
          <w:numId w:val="20"/>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w:t>
      </w:r>
      <w:r>
        <w:rPr>
          <w:rFonts w:ascii="Arial" w:eastAsia="Arial" w:hAnsi="Arial" w:cs="Arial"/>
          <w:color w:val="000000"/>
          <w:sz w:val="24"/>
          <w:szCs w:val="24"/>
        </w:rPr>
        <w:t xml:space="preserve"> institution or EU authority or other such EU body shall be read on and after Exit Day as a reference to the UK institution, authority or body to which its functions were transferred; and</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xml:space="preserve">” shall be construed </w:t>
      </w:r>
      <w:r>
        <w:rPr>
          <w:rFonts w:ascii="Arial" w:eastAsia="Arial" w:hAnsi="Arial" w:cs="Arial"/>
          <w:color w:val="000000"/>
          <w:sz w:val="24"/>
          <w:szCs w:val="24"/>
        </w:rPr>
        <w:t>as including Exempt Buyers; and</w:t>
      </w:r>
    </w:p>
    <w:p w:rsidR="00CB1396" w:rsidRDefault="00B823E2">
      <w:pPr>
        <w:pStyle w:val="Standard"/>
        <w:numPr>
          <w:ilvl w:val="2"/>
          <w:numId w:val="20"/>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CB1396" w:rsidRDefault="00B823E2">
      <w:pPr>
        <w:pStyle w:val="Standard"/>
        <w:keepNext/>
        <w:numPr>
          <w:ilvl w:val="1"/>
          <w:numId w:val="20"/>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the following words shall have t</w:t>
      </w:r>
      <w:r>
        <w:rPr>
          <w:rFonts w:ascii="Arial" w:eastAsia="Arial" w:hAnsi="Arial" w:cs="Arial"/>
          <w:color w:val="000000"/>
          <w:sz w:val="24"/>
          <w:szCs w:val="24"/>
        </w:rPr>
        <w:t>he following meanings:</w:t>
      </w:r>
    </w:p>
    <w:p w:rsidR="00CB1396" w:rsidRDefault="00CB1396">
      <w:pPr>
        <w:pStyle w:val="Standard"/>
        <w:keepNext/>
        <w:tabs>
          <w:tab w:val="left" w:pos="1701"/>
        </w:tabs>
        <w:spacing w:before="120" w:after="120" w:line="240" w:lineRule="auto"/>
        <w:ind w:left="567" w:hanging="567"/>
        <w:jc w:val="both"/>
        <w:rPr>
          <w:rFonts w:ascii="Arial" w:eastAsia="Arial" w:hAnsi="Arial" w:cs="Arial"/>
          <w:color w:val="000000"/>
          <w:sz w:val="24"/>
          <w:szCs w:val="24"/>
        </w:rPr>
      </w:pPr>
    </w:p>
    <w:tbl>
      <w:tblPr>
        <w:tblW w:w="9747" w:type="dxa"/>
        <w:tblLayout w:type="fixed"/>
        <w:tblCellMar>
          <w:left w:w="10" w:type="dxa"/>
          <w:right w:w="10" w:type="dxa"/>
        </w:tblCellMar>
        <w:tblLook w:val="04A0" w:firstRow="1" w:lastRow="0" w:firstColumn="1" w:lastColumn="0" w:noHBand="0" w:noVBand="1"/>
      </w:tblPr>
      <w:tblGrid>
        <w:gridCol w:w="2403"/>
        <w:gridCol w:w="7344"/>
      </w:tblGrid>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bookmarkStart w:id="3" w:name="_3znysh7"/>
            <w:bookmarkEnd w:id="3"/>
            <w:r>
              <w:rPr>
                <w:rFonts w:ascii="Arial" w:eastAsia="Arial" w:hAnsi="Arial" w:cs="Arial"/>
                <w:b/>
                <w:color w:val="000000"/>
                <w:sz w:val="24"/>
                <w:szCs w:val="24"/>
              </w:rPr>
              <w:t>"Achieve"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"Additional Insurances"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insurance requirements relating to a Call-Off Contract specified in the Order Form additional to those outlined in Joint Schedule 3 (Insurance Requirements);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"Admin Fee”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means the costs incurred b</w:t>
            </w:r>
            <w:r>
              <w:rPr>
                <w:rFonts w:ascii="Arial" w:eastAsia="Arial" w:hAnsi="Arial" w:cs="Arial"/>
                <w:color w:val="000000"/>
                <w:sz w:val="24"/>
                <w:szCs w:val="24"/>
              </w:rPr>
              <w:t>y CCS in dealing with MI Failures calculated in accordance with the tariff of administration charges published by the CCS on: http://CCS.cabinetoffice.gov.uk/i-am-supplier/management-information/admin-fees;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"Affected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Party seeking to claim reli</w:t>
            </w:r>
            <w:r>
              <w:rPr>
                <w:rFonts w:ascii="Arial" w:eastAsia="Arial" w:hAnsi="Arial" w:cs="Arial"/>
                <w:color w:val="000000"/>
                <w:sz w:val="24"/>
                <w:szCs w:val="24"/>
              </w:rPr>
              <w:t>ef in respect of a Force Majeure Event;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"Affiliates"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“Annex</w:t>
            </w:r>
            <w:r>
              <w:rPr>
                <w:rFonts w:ascii="Arial" w:eastAsia="Arial" w:hAnsi="Arial" w:cs="Arial"/>
                <w:b/>
                <w:color w:val="000000"/>
                <w:sz w:val="24"/>
                <w:szCs w:val="24"/>
              </w:rPr>
              <w: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extra information which supports a Schedule;</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"Approval"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"Audit"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Relevant Authority’s right to:</w:t>
            </w:r>
          </w:p>
          <w:p w:rsidR="00CB1396" w:rsidRDefault="00B823E2">
            <w:pPr>
              <w:pStyle w:val="Standard"/>
              <w:numPr>
                <w:ilvl w:val="0"/>
                <w:numId w:val="25"/>
              </w:numPr>
              <w:tabs>
                <w:tab w:val="left" w:pos="282"/>
                <w:tab w:val="left" w:pos="452"/>
              </w:tabs>
              <w:spacing w:after="120" w:line="240" w:lineRule="auto"/>
              <w:ind w:left="461" w:hanging="288"/>
              <w:jc w:val="both"/>
            </w:pPr>
            <w:r>
              <w:rPr>
                <w:rFonts w:ascii="Arial" w:eastAsia="Arial" w:hAnsi="Arial" w:cs="Arial"/>
                <w:color w:val="000000"/>
                <w:sz w:val="24"/>
                <w:szCs w:val="24"/>
              </w:rPr>
              <w:t xml:space="preserve">verify the accuracy of the Charges and any other </w:t>
            </w:r>
            <w:r>
              <w:rPr>
                <w:rFonts w:ascii="Arial" w:eastAsia="Arial" w:hAnsi="Arial" w:cs="Arial"/>
                <w:color w:val="000000"/>
                <w:sz w:val="24"/>
                <w:szCs w:val="24"/>
              </w:rPr>
              <w:t>amounts payable by a Buyer under a Call-Off Contract (including proposed or actual variations to them in accordance with the Contract);</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lastRenderedPageBreak/>
              <w:t xml:space="preserve">verify the costs of the Supplier (including the costs of all Subcontractors and any third party suppliers) in </w:t>
            </w:r>
            <w:r>
              <w:rPr>
                <w:rFonts w:ascii="Arial" w:eastAsia="Arial" w:hAnsi="Arial" w:cs="Arial"/>
                <w:color w:val="000000"/>
                <w:sz w:val="24"/>
                <w:szCs w:val="24"/>
              </w:rPr>
              <w:t>connection with the provision of the Services;</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verify the Open Book Data;</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verify the Supplier’s and each Subcontractor’s compliance with the Contract and</w:t>
            </w:r>
            <w:r>
              <w:rPr>
                <w:rFonts w:ascii="Arial" w:eastAsia="Arial" w:hAnsi="Arial" w:cs="Arial"/>
                <w:sz w:val="24"/>
                <w:szCs w:val="24"/>
              </w:rPr>
              <w:t xml:space="preserve"> </w:t>
            </w:r>
            <w:r>
              <w:rPr>
                <w:rFonts w:ascii="Arial" w:eastAsia="Arial" w:hAnsi="Arial" w:cs="Arial"/>
                <w:color w:val="000000"/>
                <w:sz w:val="24"/>
                <w:szCs w:val="24"/>
              </w:rPr>
              <w:t>applicable Law;</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identify or investigate actual or suspected breach of Clauses 27 to 33 and/or Joint Sc</w:t>
            </w:r>
            <w:r>
              <w:rPr>
                <w:rFonts w:ascii="Arial" w:eastAsia="Arial" w:hAnsi="Arial" w:cs="Arial"/>
                <w:color w:val="000000"/>
                <w:sz w:val="24"/>
                <w:szCs w:val="24"/>
              </w:rPr>
              <w:t>hedule 5 (Corporate Social Responsibility), impropriety or accounting mistakes or any breach or threatened breach of security and in these circumstances the Relevant Authority shall have no obligation to inform the Supplier of the purpose or objective of i</w:t>
            </w:r>
            <w:r>
              <w:rPr>
                <w:rFonts w:ascii="Arial" w:eastAsia="Arial" w:hAnsi="Arial" w:cs="Arial"/>
                <w:color w:val="000000"/>
                <w:sz w:val="24"/>
                <w:szCs w:val="24"/>
              </w:rPr>
              <w:t>ts investigations;</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obtain such information as is necessary to fu</w:t>
            </w:r>
            <w:r>
              <w:rPr>
                <w:rFonts w:ascii="Arial" w:eastAsia="Arial" w:hAnsi="Arial" w:cs="Arial"/>
                <w:color w:val="000000"/>
                <w:sz w:val="24"/>
                <w:szCs w:val="24"/>
              </w:rPr>
              <w:t>lfil the Relevant Authority’s obligations to supply information for parliamentary, ministerial, judicial or administrative purposes including the supply of information to the Comptroller and Auditor General;</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review any books of account and the internal con</w:t>
            </w:r>
            <w:r>
              <w:rPr>
                <w:rFonts w:ascii="Arial" w:eastAsia="Arial" w:hAnsi="Arial" w:cs="Arial"/>
                <w:color w:val="000000"/>
                <w:sz w:val="24"/>
                <w:szCs w:val="24"/>
              </w:rPr>
              <w:t>tract management accounts kept by the Supplier in connection with each Contract;</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enabl</w:t>
            </w:r>
            <w:r>
              <w:rPr>
                <w:rFonts w:ascii="Arial" w:eastAsia="Arial" w:hAnsi="Arial" w:cs="Arial"/>
                <w:color w:val="000000"/>
                <w:sz w:val="24"/>
                <w:szCs w:val="24"/>
              </w:rPr>
              <w:t>e the National Audit Office to carry out an examination pursuant to Section 6(1) of the National Audit Act 1983 of the economy, efficiency and effectiveness with which the Relevant Authority has used its resources; or</w:t>
            </w:r>
          </w:p>
          <w:p w:rsidR="00CB1396" w:rsidRDefault="00B823E2">
            <w:pPr>
              <w:pStyle w:val="Standard"/>
              <w:numPr>
                <w:ilvl w:val="0"/>
                <w:numId w:val="16"/>
              </w:numPr>
              <w:tabs>
                <w:tab w:val="left" w:pos="282"/>
                <w:tab w:val="left" w:pos="452"/>
              </w:tabs>
              <w:spacing w:after="120" w:line="240" w:lineRule="auto"/>
              <w:ind w:left="461" w:hanging="288"/>
              <w:jc w:val="both"/>
            </w:pPr>
            <w:r>
              <w:rPr>
                <w:rFonts w:ascii="Arial" w:eastAsia="Arial" w:hAnsi="Arial" w:cs="Arial"/>
                <w:color w:val="000000"/>
                <w:sz w:val="24"/>
                <w:szCs w:val="24"/>
              </w:rPr>
              <w:t>verify the accuracy and completeness o</w:t>
            </w:r>
            <w:r>
              <w:rPr>
                <w:rFonts w:ascii="Arial" w:eastAsia="Arial" w:hAnsi="Arial" w:cs="Arial"/>
                <w:color w:val="000000"/>
                <w:sz w:val="24"/>
                <w:szCs w:val="24"/>
              </w:rPr>
              <w:t>f any Management Information delivered or required by the Framework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lastRenderedPageBreak/>
              <w:t>"Auditor"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numPr>
                <w:ilvl w:val="0"/>
                <w:numId w:val="26"/>
              </w:numPr>
              <w:tabs>
                <w:tab w:val="left" w:pos="322"/>
                <w:tab w:val="left" w:pos="492"/>
              </w:tabs>
              <w:spacing w:after="120" w:line="240" w:lineRule="auto"/>
              <w:ind w:left="501" w:hanging="331"/>
              <w:jc w:val="both"/>
            </w:pPr>
            <w:r>
              <w:rPr>
                <w:rFonts w:ascii="Arial" w:eastAsia="Arial" w:hAnsi="Arial" w:cs="Arial"/>
                <w:color w:val="000000"/>
                <w:sz w:val="24"/>
                <w:szCs w:val="24"/>
              </w:rPr>
              <w:t xml:space="preserve">the </w:t>
            </w:r>
            <w:r>
              <w:rPr>
                <w:rFonts w:ascii="Arial" w:eastAsia="Arial" w:hAnsi="Arial" w:cs="Arial"/>
                <w:sz w:val="24"/>
                <w:szCs w:val="24"/>
              </w:rPr>
              <w:t>Relevant Authority’s</w:t>
            </w:r>
            <w:r>
              <w:rPr>
                <w:rFonts w:ascii="Arial" w:eastAsia="Arial" w:hAnsi="Arial" w:cs="Arial"/>
                <w:color w:val="000000"/>
                <w:sz w:val="24"/>
                <w:szCs w:val="24"/>
              </w:rPr>
              <w:t xml:space="preserve"> internal and external auditors;</w:t>
            </w:r>
          </w:p>
          <w:p w:rsidR="00CB1396" w:rsidRDefault="00B823E2">
            <w:pPr>
              <w:pStyle w:val="Standard"/>
              <w:numPr>
                <w:ilvl w:val="0"/>
                <w:numId w:val="14"/>
              </w:numPr>
              <w:tabs>
                <w:tab w:val="left" w:pos="282"/>
                <w:tab w:val="left" w:pos="452"/>
              </w:tabs>
              <w:spacing w:after="120" w:line="240" w:lineRule="auto"/>
              <w:ind w:left="461" w:hanging="288"/>
              <w:jc w:val="both"/>
            </w:pPr>
            <w:r>
              <w:rPr>
                <w:rFonts w:ascii="Arial" w:eastAsia="Arial" w:hAnsi="Arial" w:cs="Arial"/>
                <w:color w:val="000000"/>
                <w:sz w:val="24"/>
                <w:szCs w:val="24"/>
              </w:rPr>
              <w:t xml:space="preserve">the </w:t>
            </w:r>
            <w:r>
              <w:rPr>
                <w:rFonts w:ascii="Arial" w:eastAsia="Arial" w:hAnsi="Arial" w:cs="Arial"/>
                <w:sz w:val="24"/>
                <w:szCs w:val="24"/>
              </w:rPr>
              <w:t>Relevant Authority’s</w:t>
            </w:r>
            <w:r>
              <w:rPr>
                <w:rFonts w:ascii="Arial" w:eastAsia="Arial" w:hAnsi="Arial" w:cs="Arial"/>
                <w:color w:val="000000"/>
                <w:sz w:val="24"/>
                <w:szCs w:val="24"/>
              </w:rPr>
              <w:t xml:space="preserve"> statutory or regulatory auditors;</w:t>
            </w:r>
          </w:p>
          <w:p w:rsidR="00CB1396" w:rsidRDefault="00B823E2">
            <w:pPr>
              <w:pStyle w:val="Standard"/>
              <w:numPr>
                <w:ilvl w:val="0"/>
                <w:numId w:val="14"/>
              </w:numPr>
              <w:tabs>
                <w:tab w:val="left" w:pos="282"/>
                <w:tab w:val="left" w:pos="452"/>
              </w:tabs>
              <w:spacing w:after="120" w:line="240" w:lineRule="auto"/>
              <w:ind w:left="461" w:hanging="288"/>
              <w:jc w:val="both"/>
            </w:pPr>
            <w:r>
              <w:rPr>
                <w:rFonts w:ascii="Arial" w:eastAsia="Arial" w:hAnsi="Arial" w:cs="Arial"/>
                <w:color w:val="000000"/>
                <w:sz w:val="24"/>
                <w:szCs w:val="24"/>
              </w:rPr>
              <w:t>the Comptroller and Auditor General, their staff and/or any appointed representatives of the National Audit Office;</w:t>
            </w:r>
          </w:p>
          <w:p w:rsidR="00CB1396" w:rsidRDefault="00B823E2">
            <w:pPr>
              <w:pStyle w:val="Standard"/>
              <w:numPr>
                <w:ilvl w:val="0"/>
                <w:numId w:val="14"/>
              </w:numPr>
              <w:tabs>
                <w:tab w:val="left" w:pos="282"/>
                <w:tab w:val="left" w:pos="452"/>
              </w:tabs>
              <w:spacing w:after="120" w:line="240" w:lineRule="auto"/>
              <w:ind w:left="461" w:hanging="288"/>
              <w:jc w:val="both"/>
            </w:pPr>
            <w:r>
              <w:rPr>
                <w:rFonts w:ascii="Arial" w:eastAsia="Arial" w:hAnsi="Arial" w:cs="Arial"/>
                <w:color w:val="000000"/>
                <w:sz w:val="24"/>
                <w:szCs w:val="24"/>
              </w:rPr>
              <w:t>HM Treasury or the Cabinet Office;</w:t>
            </w:r>
          </w:p>
          <w:p w:rsidR="00CB1396" w:rsidRDefault="00B823E2">
            <w:pPr>
              <w:pStyle w:val="Standard"/>
              <w:numPr>
                <w:ilvl w:val="0"/>
                <w:numId w:val="14"/>
              </w:numPr>
              <w:tabs>
                <w:tab w:val="left" w:pos="282"/>
                <w:tab w:val="left" w:pos="452"/>
              </w:tabs>
              <w:spacing w:after="120" w:line="240" w:lineRule="auto"/>
              <w:ind w:left="461" w:hanging="288"/>
              <w:jc w:val="both"/>
            </w:pPr>
            <w:r>
              <w:rPr>
                <w:rFonts w:ascii="Arial" w:eastAsia="Arial" w:hAnsi="Arial" w:cs="Arial"/>
                <w:color w:val="000000"/>
                <w:sz w:val="24"/>
                <w:szCs w:val="24"/>
              </w:rPr>
              <w:t xml:space="preserve">any party formally appointed by the </w:t>
            </w:r>
            <w:r>
              <w:rPr>
                <w:rFonts w:ascii="Arial" w:eastAsia="Arial" w:hAnsi="Arial" w:cs="Arial"/>
                <w:sz w:val="24"/>
                <w:szCs w:val="24"/>
              </w:rPr>
              <w:t>Relevant Authorities</w:t>
            </w:r>
            <w:r>
              <w:rPr>
                <w:rFonts w:ascii="Arial" w:eastAsia="Arial" w:hAnsi="Arial" w:cs="Arial"/>
                <w:color w:val="000000"/>
                <w:sz w:val="24"/>
                <w:szCs w:val="24"/>
              </w:rPr>
              <w:t xml:space="preserve"> to carry out </w:t>
            </w:r>
            <w:r>
              <w:rPr>
                <w:rFonts w:ascii="Arial" w:eastAsia="Arial" w:hAnsi="Arial" w:cs="Arial"/>
                <w:color w:val="000000"/>
                <w:sz w:val="24"/>
                <w:szCs w:val="24"/>
              </w:rPr>
              <w:t>audit or similar review functions; and</w:t>
            </w:r>
          </w:p>
          <w:p w:rsidR="00CB1396" w:rsidRDefault="00B823E2">
            <w:pPr>
              <w:pStyle w:val="Standard"/>
              <w:numPr>
                <w:ilvl w:val="0"/>
                <w:numId w:val="14"/>
              </w:numPr>
              <w:tabs>
                <w:tab w:val="left" w:pos="282"/>
                <w:tab w:val="left" w:pos="452"/>
              </w:tabs>
              <w:spacing w:after="120" w:line="240" w:lineRule="auto"/>
              <w:ind w:left="461" w:hanging="288"/>
              <w:jc w:val="both"/>
            </w:pPr>
            <w:r>
              <w:rPr>
                <w:rFonts w:ascii="Arial" w:eastAsia="Arial" w:hAnsi="Arial" w:cs="Arial"/>
                <w:color w:val="000000"/>
                <w:sz w:val="24"/>
                <w:szCs w:val="24"/>
              </w:rPr>
              <w:t>successors or assigns of any of the above;</w:t>
            </w:r>
          </w:p>
        </w:tc>
      </w:tr>
      <w:tr w:rsidR="00CB1396">
        <w:tblPrEx>
          <w:tblCellMar>
            <w:top w:w="0" w:type="dxa"/>
            <w:bottom w:w="0" w:type="dxa"/>
          </w:tblCellMar>
        </w:tblPrEx>
        <w:trPr>
          <w:trHeight w:val="601"/>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"Authority"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line="240" w:lineRule="auto"/>
            </w:pPr>
            <w:r>
              <w:rPr>
                <w:rFonts w:ascii="Arial" w:eastAsia="Arial" w:hAnsi="Arial" w:cs="Arial"/>
                <w:sz w:val="24"/>
                <w:szCs w:val="24"/>
              </w:rPr>
              <w:t>CCS and each Buyer;</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line="240" w:lineRule="auto"/>
              <w:ind w:left="-108"/>
            </w:pPr>
            <w:r>
              <w:rPr>
                <w:rFonts w:ascii="Arial" w:eastAsia="Arial" w:hAnsi="Arial" w:cs="Arial"/>
                <w:b/>
                <w:color w:val="000000"/>
                <w:sz w:val="24"/>
                <w:szCs w:val="24"/>
              </w:rPr>
              <w:t>"Authority Cause"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breach of the obligations of the Relevant Authority or any other default, act, omission, negligence or statement of </w:t>
            </w:r>
            <w:r>
              <w:rPr>
                <w:rFonts w:ascii="Arial" w:eastAsia="Arial" w:hAnsi="Arial" w:cs="Arial"/>
                <w:color w:val="000000"/>
                <w:sz w:val="24"/>
                <w:szCs w:val="24"/>
              </w:rPr>
              <w:t>the Relevant Authority, of its employees, servants, agents in connection with or in relation to the subject-matter of the Contract and in respect of which the Relevant Authority is liable to the Supplier;</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"BACS"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Bankers’ Automated Clearing Services, </w:t>
            </w:r>
            <w:r>
              <w:rPr>
                <w:rFonts w:ascii="Arial" w:eastAsia="Arial" w:hAnsi="Arial" w:cs="Arial"/>
                <w:color w:val="000000"/>
                <w:sz w:val="24"/>
                <w:szCs w:val="24"/>
              </w:rPr>
              <w:t>which is a scheme for the electronic processing of financial transactions within the United Kingdom;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"Beneficiary"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Party having (or claiming to have) the benefit of an indemnity under this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"Buyer"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relevant public sector purchaser identifi</w:t>
            </w:r>
            <w:r>
              <w:rPr>
                <w:rFonts w:ascii="Arial" w:eastAsia="Arial" w:hAnsi="Arial" w:cs="Arial"/>
                <w:color w:val="000000"/>
                <w:sz w:val="24"/>
                <w:szCs w:val="24"/>
              </w:rPr>
              <w:t>ed as such in the Order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"Buyer Assets"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w:t>
            </w:r>
            <w:r>
              <w:rPr>
                <w:rFonts w:ascii="Arial" w:eastAsia="Arial" w:hAnsi="Arial" w:cs="Arial"/>
                <w:color w:val="000000"/>
                <w:sz w:val="24"/>
                <w:szCs w:val="24"/>
              </w:rPr>
              <w:t>iverables which remain the property of the Buyer throughout the term of the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"Buyer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representative appointed by the Buyer from time to time in relation to the Call-Off Contract initially identified in the Order Form</w:t>
            </w:r>
            <w:r>
              <w:rPr>
                <w:rFonts w:ascii="Arial" w:eastAsia="Arial" w:hAnsi="Arial" w:cs="Arial"/>
                <w:color w:val="000000"/>
                <w:sz w:val="24"/>
                <w:szCs w:val="24"/>
              </w:rPr>
              <w: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"Buyer Premises"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"Call-Off 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contract between the Buyer and </w:t>
            </w:r>
            <w:r>
              <w:rPr>
                <w:rFonts w:ascii="Arial" w:eastAsia="Arial" w:hAnsi="Arial" w:cs="Arial"/>
                <w:color w:val="000000"/>
                <w:sz w:val="24"/>
                <w:szCs w:val="24"/>
              </w:rPr>
              <w:t>the Supplier (entered into pursuant to the provisions of the Framework Contract), which consists of the terms set out and referred to in the Order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"Call-Off 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Contract Period in respect of the Call-Off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 xml:space="preserve">"Call-Off Expiry </w:t>
            </w:r>
            <w:r>
              <w:rPr>
                <w:rFonts w:ascii="Arial" w:eastAsia="Arial" w:hAnsi="Arial" w:cs="Arial"/>
                <w:b/>
                <w:color w:val="000000"/>
                <w:sz w:val="24"/>
                <w:szCs w:val="24"/>
              </w:rPr>
              <w:t>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scheduled date of the end of a Call-Off Contract as stated in the Order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"Call-Off Incorporated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contractual terms applicable to the Call-Off Contract specified under the relevant heading in the Order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 xml:space="preserve">"Call-Off Initial </w:t>
            </w:r>
            <w:r>
              <w:rPr>
                <w:rFonts w:ascii="Arial" w:eastAsia="Arial" w:hAnsi="Arial" w:cs="Arial"/>
                <w:b/>
                <w:color w:val="000000"/>
                <w:sz w:val="24"/>
                <w:szCs w:val="24"/>
              </w:rPr>
              <w:t>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Initial Period of a Call-Off Contract specified in the Order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"Call-Off Optional Extension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such period or periods beyond which the Call-Off Initial Period may be extended as specified in the Order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"Call-Off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w:t>
            </w:r>
            <w:r>
              <w:rPr>
                <w:rFonts w:ascii="Arial" w:eastAsia="Arial" w:hAnsi="Arial" w:cs="Arial"/>
                <w:color w:val="000000"/>
                <w:sz w:val="24"/>
                <w:szCs w:val="24"/>
              </w:rPr>
              <w:t>rocess for awarding a Call-Off Contract pursuant to Clause 2 (How the contract works) and Framework Schedule 7 (Call-Off Award Procedure);</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"Call-Off Special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additional terms and conditions specified in the Order Form incorporated into the appli</w:t>
            </w:r>
            <w:r>
              <w:rPr>
                <w:rFonts w:ascii="Arial" w:eastAsia="Arial" w:hAnsi="Arial" w:cs="Arial"/>
                <w:color w:val="000000"/>
                <w:sz w:val="24"/>
                <w:szCs w:val="24"/>
              </w:rPr>
              <w:t>cable Call-Off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"Call-Off Start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date of start of a Call-Off Contract as stated in the Order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"Call-Off Tender"</w:t>
            </w:r>
          </w:p>
          <w:p w:rsidR="00CB1396" w:rsidRDefault="00CB1396">
            <w:pPr>
              <w:pStyle w:val="Standard"/>
              <w:rPr>
                <w:rFonts w:ascii="Arial" w:eastAsia="Arial" w:hAnsi="Arial" w:cs="Arial"/>
                <w:sz w:val="24"/>
                <w:szCs w:val="24"/>
              </w:rPr>
            </w:pPr>
          </w:p>
          <w:p w:rsidR="00CB1396" w:rsidRDefault="00CB1396">
            <w:pPr>
              <w:pStyle w:val="Standard"/>
              <w:spacing w:line="240" w:lineRule="auto"/>
              <w:jc w:val="right"/>
              <w:rPr>
                <w:rFonts w:ascii="Arial" w:eastAsia="Arial" w:hAnsi="Arial" w:cs="Arial"/>
                <w:sz w:val="24"/>
                <w:szCs w:val="24"/>
              </w:rPr>
            </w:pP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bookmarkStart w:id="4" w:name="_2et92p0"/>
            <w:bookmarkEnd w:id="4"/>
            <w:r>
              <w:rPr>
                <w:rFonts w:ascii="Arial" w:eastAsia="Arial" w:hAnsi="Arial" w:cs="Arial"/>
                <w:color w:val="000000"/>
                <w:sz w:val="24"/>
                <w:szCs w:val="24"/>
              </w:rPr>
              <w:t xml:space="preserve">the tender submitted by the Supplier in response to the Buyer’s Statement of Requirements following a Further </w:t>
            </w:r>
            <w:r>
              <w:rPr>
                <w:rFonts w:ascii="Arial" w:eastAsia="Arial" w:hAnsi="Arial" w:cs="Arial"/>
                <w:color w:val="000000"/>
                <w:sz w:val="24"/>
                <w:szCs w:val="24"/>
              </w:rPr>
              <w:t>Competition Procedure and set out at Call-Off Schedule 4 (Call-Off Tender);</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w:t>
            </w:r>
            <w:r>
              <w:rPr>
                <w:rFonts w:ascii="Arial" w:eastAsia="Arial" w:hAnsi="Arial" w:cs="Arial"/>
                <w:color w:val="000000"/>
                <w:sz w:val="24"/>
                <w:szCs w:val="24"/>
              </w:rPr>
              <w:t>ces are located at 9th Floor, The Capital, Old Hall Street, Liverpool L3 9PP;</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"CCS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"Central Government Body"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body listed in one of the following </w:t>
            </w:r>
            <w:r>
              <w:rPr>
                <w:rFonts w:ascii="Arial" w:eastAsia="Arial" w:hAnsi="Arial" w:cs="Arial"/>
                <w:sz w:val="24"/>
                <w:szCs w:val="24"/>
              </w:rPr>
              <w:t>subcategories</w:t>
            </w:r>
            <w:r>
              <w:rPr>
                <w:rFonts w:ascii="Arial" w:eastAsia="Arial" w:hAnsi="Arial" w:cs="Arial"/>
                <w:color w:val="000000"/>
                <w:sz w:val="24"/>
                <w:szCs w:val="24"/>
              </w:rPr>
              <w:t xml:space="preserve"> of the Central Government classification of the Public Sector Classification Guide, as published and amended from time to time by the Office for National Statistics:</w:t>
            </w:r>
          </w:p>
          <w:p w:rsidR="00CB1396" w:rsidRDefault="00B823E2">
            <w:pPr>
              <w:pStyle w:val="Standard"/>
              <w:numPr>
                <w:ilvl w:val="1"/>
                <w:numId w:val="11"/>
              </w:numPr>
              <w:tabs>
                <w:tab w:val="left" w:pos="113"/>
                <w:tab w:val="left" w:pos="833"/>
              </w:tabs>
              <w:spacing w:after="120" w:line="240" w:lineRule="auto"/>
              <w:ind w:left="689" w:hanging="545"/>
              <w:jc w:val="both"/>
            </w:pPr>
            <w:r>
              <w:rPr>
                <w:rFonts w:ascii="Arial" w:eastAsia="Arial" w:hAnsi="Arial" w:cs="Arial"/>
                <w:color w:val="000000"/>
                <w:sz w:val="24"/>
                <w:szCs w:val="24"/>
              </w:rPr>
              <w:t>Government D</w:t>
            </w:r>
            <w:r>
              <w:rPr>
                <w:rFonts w:ascii="Arial" w:eastAsia="Arial" w:hAnsi="Arial" w:cs="Arial"/>
                <w:color w:val="000000"/>
                <w:sz w:val="24"/>
                <w:szCs w:val="24"/>
              </w:rPr>
              <w:t>epartment;</w:t>
            </w:r>
          </w:p>
          <w:p w:rsidR="00CB1396" w:rsidRDefault="00B823E2">
            <w:pPr>
              <w:pStyle w:val="Standard"/>
              <w:numPr>
                <w:ilvl w:val="1"/>
                <w:numId w:val="11"/>
              </w:numPr>
              <w:tabs>
                <w:tab w:val="left" w:pos="-144"/>
                <w:tab w:val="left" w:pos="576"/>
              </w:tabs>
              <w:spacing w:after="120" w:line="240" w:lineRule="auto"/>
              <w:ind w:hanging="288"/>
              <w:jc w:val="both"/>
            </w:pPr>
            <w:r>
              <w:rPr>
                <w:rFonts w:ascii="Arial" w:eastAsia="Arial" w:hAnsi="Arial" w:cs="Arial"/>
                <w:color w:val="000000"/>
                <w:sz w:val="24"/>
                <w:szCs w:val="24"/>
              </w:rPr>
              <w:t>Non-Departmental Public Body or Assembly Sponsored Public Body (advisory, executive, or tribunal);</w:t>
            </w:r>
          </w:p>
          <w:p w:rsidR="00CB1396" w:rsidRDefault="00B823E2">
            <w:pPr>
              <w:pStyle w:val="Standard"/>
              <w:numPr>
                <w:ilvl w:val="1"/>
                <w:numId w:val="11"/>
              </w:numPr>
              <w:tabs>
                <w:tab w:val="left" w:pos="113"/>
                <w:tab w:val="left" w:pos="833"/>
              </w:tabs>
              <w:spacing w:after="120" w:line="240" w:lineRule="auto"/>
              <w:ind w:left="689" w:hanging="545"/>
              <w:jc w:val="both"/>
            </w:pPr>
            <w:r>
              <w:rPr>
                <w:rFonts w:ascii="Arial" w:eastAsia="Arial" w:hAnsi="Arial" w:cs="Arial"/>
                <w:color w:val="000000"/>
                <w:sz w:val="24"/>
                <w:szCs w:val="24"/>
              </w:rPr>
              <w:t>Non-Ministerial Department; or</w:t>
            </w:r>
          </w:p>
          <w:p w:rsidR="00CB1396" w:rsidRDefault="00B823E2">
            <w:pPr>
              <w:pStyle w:val="Standard"/>
              <w:numPr>
                <w:ilvl w:val="1"/>
                <w:numId w:val="11"/>
              </w:numPr>
              <w:tabs>
                <w:tab w:val="left" w:pos="113"/>
                <w:tab w:val="left" w:pos="833"/>
              </w:tabs>
              <w:spacing w:after="120" w:line="240" w:lineRule="auto"/>
              <w:ind w:left="689" w:hanging="545"/>
              <w:jc w:val="both"/>
            </w:pPr>
            <w:r>
              <w:rPr>
                <w:rFonts w:ascii="Arial" w:eastAsia="Arial" w:hAnsi="Arial" w:cs="Arial"/>
                <w:color w:val="000000"/>
                <w:sz w:val="24"/>
                <w:szCs w:val="24"/>
              </w:rPr>
              <w:t>Executive Agency;</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"Change in Law"</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change in Law which impacts on the supply of the Deliverables and </w:t>
            </w:r>
            <w:r>
              <w:rPr>
                <w:rFonts w:ascii="Arial" w:eastAsia="Arial" w:hAnsi="Arial" w:cs="Arial"/>
                <w:color w:val="000000"/>
                <w:sz w:val="24"/>
                <w:szCs w:val="24"/>
              </w:rPr>
              <w:t>performance of the Contract which comes into force after the Start Date;</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"Change of 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change of control within the meaning of Section 450 of the Corporation Tax Act 2010;</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prices (exclusive of any applicable VAT), payable to the Su</w:t>
            </w:r>
            <w:r>
              <w:rPr>
                <w:rFonts w:ascii="Arial" w:eastAsia="Arial" w:hAnsi="Arial" w:cs="Arial"/>
                <w:color w:val="000000"/>
                <w:sz w:val="24"/>
                <w:szCs w:val="24"/>
              </w:rPr>
              <w:t>pplier by the Buyer under the Call-Off Contract, as set out in the Order Form, for the full and proper performance by the Supplier of its obligations under the Call-Off Contract less any Deductions;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"Claim"</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claim which it appears that a Beneficiary is</w:t>
            </w:r>
            <w:r>
              <w:rPr>
                <w:rFonts w:ascii="Arial" w:eastAsia="Arial" w:hAnsi="Arial" w:cs="Arial"/>
                <w:color w:val="000000"/>
                <w:sz w:val="24"/>
                <w:szCs w:val="24"/>
              </w:rPr>
              <w:t>, or may become, entitled to indemnification under this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"Commercially Sensitive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Confidential Information listed in the Framework Award Form or Order Form (if any) comprising of commercially sensitive information relating to the </w:t>
            </w:r>
            <w:r>
              <w:rPr>
                <w:rFonts w:ascii="Arial" w:eastAsia="Arial" w:hAnsi="Arial" w:cs="Arial"/>
                <w:color w:val="000000"/>
                <w:sz w:val="24"/>
                <w:szCs w:val="24"/>
              </w:rPr>
              <w:t>Supplier, its IPR or its business or which the Supplier has indicated to the Authority that, if disclosed by the Authority, would cause the Supplier significant commercial disadvantage or material financial loss;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"Comparable Supply"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supply of </w:t>
            </w:r>
            <w:r>
              <w:rPr>
                <w:rFonts w:ascii="Arial" w:eastAsia="Arial" w:hAnsi="Arial" w:cs="Arial"/>
                <w:color w:val="000000"/>
                <w:sz w:val="24"/>
                <w:szCs w:val="24"/>
              </w:rPr>
              <w:t>Deliverables to another Buyer of the Supplier that are the same or similar to the Deliverables;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"Compliance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person(s) appointed by the Supplier who is responsible for ensuring that the Supplier complies with its legal obligations;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"Confident</w:t>
            </w:r>
            <w:r>
              <w:rPr>
                <w:rFonts w:ascii="Arial" w:eastAsia="Arial" w:hAnsi="Arial" w:cs="Arial"/>
                <w:b/>
                <w:color w:val="000000"/>
                <w:sz w:val="24"/>
                <w:szCs w:val="24"/>
              </w:rPr>
              <w:t>ial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w:t>
            </w:r>
            <w:r>
              <w:rPr>
                <w:rFonts w:ascii="Arial" w:eastAsia="Arial" w:hAnsi="Arial" w:cs="Arial"/>
                <w:color w:val="000000"/>
                <w:sz w:val="24"/>
                <w:szCs w:val="24"/>
              </w:rPr>
              <w:t xml:space="preserve">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"Conflict of Interest"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conflict between the financial or persona</w:t>
            </w:r>
            <w:r>
              <w:rPr>
                <w:rFonts w:ascii="Arial" w:eastAsia="Arial" w:hAnsi="Arial" w:cs="Arial"/>
                <w:color w:val="000000"/>
                <w:sz w:val="24"/>
                <w:szCs w:val="24"/>
              </w:rPr>
              <w:t>l duties of the Supplier or the Supplier Staff and the duties owed to CCS or any Buyer under a Contract, in the reasonable opinion of the Buyer or CCS;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either the Framework Contract or the Call-Off Contract, as the context requires;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 xml:space="preserve">"Contract </w:t>
            </w:r>
            <w:r>
              <w:rPr>
                <w:rFonts w:ascii="Arial" w:eastAsia="Arial" w:hAnsi="Arial" w:cs="Arial"/>
                <w:b/>
                <w:color w:val="000000"/>
                <w:sz w:val="24"/>
                <w:szCs w:val="24"/>
              </w:rPr>
              <w:t>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term of either a Framework Contract or Call-Off Contract on and from the earlier of the:</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applicable Start Date; or</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b) the Effective Date</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up to and including the applicable End Date;</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"Contract Value"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higher of the actual or expected </w:t>
            </w:r>
            <w:r>
              <w:rPr>
                <w:rFonts w:ascii="Arial" w:eastAsia="Arial" w:hAnsi="Arial" w:cs="Arial"/>
                <w:color w:val="000000"/>
                <w:sz w:val="24"/>
                <w:szCs w:val="24"/>
              </w:rPr>
              <w:t>total Charges paid or payable under a Contract where all obligations are met by the Supplier;</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"Contract Year"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consecutive period of twelve (12) Months commencing on the Start Date or each anniversary thereof;</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control in either of the senses d</w:t>
            </w:r>
            <w:r>
              <w:rPr>
                <w:rFonts w:ascii="Arial" w:eastAsia="Arial" w:hAnsi="Arial" w:cs="Arial"/>
                <w:color w:val="000000"/>
                <w:sz w:val="24"/>
                <w:szCs w:val="24"/>
              </w:rPr>
              <w:t>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“Controller”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UK GDPR;</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“Core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9"/>
                <w:tab w:val="left" w:pos="161"/>
              </w:tabs>
              <w:spacing w:after="120" w:line="240" w:lineRule="auto"/>
              <w:ind w:left="170"/>
              <w:jc w:val="both"/>
            </w:pPr>
            <w:r>
              <w:rPr>
                <w:rFonts w:ascii="Arial" w:eastAsia="Arial" w:hAnsi="Arial" w:cs="Arial"/>
                <w:color w:val="000000"/>
                <w:sz w:val="24"/>
                <w:szCs w:val="24"/>
              </w:rPr>
              <w:t xml:space="preserve">CCS’ terms and conditions for common goods and services which govern </w:t>
            </w:r>
            <w:r>
              <w:rPr>
                <w:rFonts w:ascii="Arial" w:eastAsia="Arial" w:hAnsi="Arial" w:cs="Arial"/>
                <w:color w:val="000000"/>
                <w:sz w:val="24"/>
                <w:szCs w:val="24"/>
              </w:rPr>
              <w:t>how Suppliers must interact with CCS and Buyers under Framework Contracts and Call-Off Contracts;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"Costs"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following costs (without double recovery) to the extent that they are reasonably and properly incurred by the Supplier in providing the Deliverab</w:t>
            </w:r>
            <w:r>
              <w:rPr>
                <w:rFonts w:ascii="Arial" w:eastAsia="Arial" w:hAnsi="Arial" w:cs="Arial"/>
                <w:color w:val="000000"/>
                <w:sz w:val="24"/>
                <w:szCs w:val="24"/>
              </w:rPr>
              <w:t>les:</w:t>
            </w:r>
          </w:p>
          <w:p w:rsidR="00CB1396" w:rsidRDefault="00B823E2">
            <w:pPr>
              <w:pStyle w:val="Standard"/>
              <w:numPr>
                <w:ilvl w:val="1"/>
                <w:numId w:val="11"/>
              </w:numPr>
              <w:tabs>
                <w:tab w:val="left" w:pos="-144"/>
                <w:tab w:val="left" w:pos="576"/>
              </w:tabs>
              <w:spacing w:after="120" w:line="240" w:lineRule="auto"/>
              <w:ind w:hanging="288"/>
              <w:jc w:val="both"/>
            </w:pPr>
            <w:r>
              <w:rPr>
                <w:rFonts w:ascii="Arial" w:eastAsia="Arial" w:hAnsi="Arial" w:cs="Arial"/>
                <w:color w:val="000000"/>
                <w:sz w:val="24"/>
                <w:szCs w:val="24"/>
              </w:rPr>
              <w:t>the cost to the Supplier or the Key Subcontractor (as the context requires), calculated per Work Day, of engaging the Supplier Staff, including:</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color w:val="000000"/>
                <w:sz w:val="24"/>
                <w:szCs w:val="24"/>
              </w:rPr>
              <w:t>base salary paid to the Supplier Staff;</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color w:val="000000"/>
                <w:sz w:val="24"/>
                <w:szCs w:val="24"/>
              </w:rPr>
              <w:t>employer’s National Insurance contributions;</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color w:val="000000"/>
                <w:sz w:val="24"/>
                <w:szCs w:val="24"/>
              </w:rPr>
              <w:t xml:space="preserve">pension </w:t>
            </w:r>
            <w:r>
              <w:rPr>
                <w:rFonts w:ascii="Arial" w:eastAsia="Arial" w:hAnsi="Arial" w:cs="Arial"/>
                <w:color w:val="000000"/>
                <w:sz w:val="24"/>
                <w:szCs w:val="24"/>
              </w:rPr>
              <w:t>contributions;</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color w:val="000000"/>
                <w:sz w:val="24"/>
                <w:szCs w:val="24"/>
              </w:rPr>
              <w:t>car allowances;</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color w:val="000000"/>
                <w:sz w:val="24"/>
                <w:szCs w:val="24"/>
              </w:rPr>
              <w:t>any other contractual employment benefits;</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color w:val="000000"/>
                <w:sz w:val="24"/>
                <w:szCs w:val="24"/>
              </w:rPr>
              <w:t>staff training;</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sz w:val="24"/>
                <w:szCs w:val="24"/>
              </w:rPr>
              <w:t>workplace</w:t>
            </w:r>
            <w:r>
              <w:rPr>
                <w:rFonts w:ascii="Arial" w:eastAsia="Arial" w:hAnsi="Arial" w:cs="Arial"/>
                <w:color w:val="000000"/>
                <w:sz w:val="24"/>
                <w:szCs w:val="24"/>
              </w:rPr>
              <w:t xml:space="preserve"> accommodation;</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necessary to provide the Deliverables (but not including items included within limb (b) below); </w:t>
            </w:r>
            <w:r>
              <w:rPr>
                <w:rFonts w:ascii="Arial" w:eastAsia="Arial" w:hAnsi="Arial" w:cs="Arial"/>
                <w:color w:val="000000"/>
                <w:sz w:val="24"/>
                <w:szCs w:val="24"/>
              </w:rPr>
              <w:t>and</w:t>
            </w:r>
          </w:p>
          <w:p w:rsidR="00CB1396" w:rsidRDefault="00B823E2">
            <w:pPr>
              <w:pStyle w:val="Standard"/>
              <w:numPr>
                <w:ilvl w:val="2"/>
                <w:numId w:val="11"/>
              </w:numPr>
              <w:tabs>
                <w:tab w:val="left" w:pos="216"/>
                <w:tab w:val="left" w:pos="936"/>
              </w:tabs>
              <w:spacing w:after="120" w:line="240" w:lineRule="auto"/>
              <w:ind w:left="792"/>
              <w:jc w:val="both"/>
            </w:pPr>
            <w:r>
              <w:rPr>
                <w:rFonts w:ascii="Arial" w:eastAsia="Arial" w:hAnsi="Arial" w:cs="Arial"/>
                <w:color w:val="000000"/>
                <w:sz w:val="24"/>
                <w:szCs w:val="24"/>
              </w:rPr>
              <w:t>reasonable recruitment costs, as agreed with the Buyer;</w:t>
            </w:r>
          </w:p>
          <w:p w:rsidR="00CB1396" w:rsidRDefault="00B823E2">
            <w:pPr>
              <w:pStyle w:val="Standard"/>
              <w:numPr>
                <w:ilvl w:val="1"/>
                <w:numId w:val="11"/>
              </w:numPr>
              <w:tabs>
                <w:tab w:val="left" w:pos="-144"/>
                <w:tab w:val="left" w:pos="576"/>
              </w:tabs>
              <w:spacing w:after="120" w:line="240" w:lineRule="auto"/>
              <w:ind w:hanging="288"/>
              <w:jc w:val="both"/>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w:t>
            </w:r>
            <w:r>
              <w:rPr>
                <w:rFonts w:ascii="Arial" w:eastAsia="Arial" w:hAnsi="Arial" w:cs="Arial"/>
                <w:color w:val="000000"/>
                <w:sz w:val="24"/>
                <w:szCs w:val="24"/>
              </w:rPr>
              <w:t>d in respect of Supplier Assets by the Supplier to the Buyer or (to the extent that risk and title in any Supplier Asset is not held by the Supplier) any cost actually incurred by the Supplier in respect of those Supplier Assets;</w:t>
            </w:r>
          </w:p>
          <w:p w:rsidR="00CB1396" w:rsidRDefault="00B823E2">
            <w:pPr>
              <w:pStyle w:val="Standard"/>
              <w:numPr>
                <w:ilvl w:val="1"/>
                <w:numId w:val="11"/>
              </w:numPr>
              <w:tabs>
                <w:tab w:val="left" w:pos="-144"/>
                <w:tab w:val="left" w:pos="576"/>
              </w:tabs>
              <w:spacing w:after="120" w:line="240" w:lineRule="auto"/>
              <w:ind w:hanging="288"/>
              <w:jc w:val="both"/>
            </w:pPr>
            <w:r>
              <w:rPr>
                <w:rFonts w:ascii="Arial" w:eastAsia="Arial" w:hAnsi="Arial" w:cs="Arial"/>
                <w:color w:val="000000"/>
                <w:sz w:val="24"/>
                <w:szCs w:val="24"/>
              </w:rPr>
              <w:t>operational costs which ar</w:t>
            </w:r>
            <w:r>
              <w:rPr>
                <w:rFonts w:ascii="Arial" w:eastAsia="Arial" w:hAnsi="Arial" w:cs="Arial"/>
                <w:color w:val="000000"/>
                <w:sz w:val="24"/>
                <w:szCs w:val="24"/>
              </w:rPr>
              <w:t>e not included within (a) or (b) above, to the extent that such costs are necessary and properly incurred by the Supplier in the provision of the Deliverables; and</w:t>
            </w:r>
          </w:p>
          <w:p w:rsidR="00CB1396" w:rsidRDefault="00B823E2">
            <w:pPr>
              <w:pStyle w:val="Standard"/>
              <w:numPr>
                <w:ilvl w:val="1"/>
                <w:numId w:val="11"/>
              </w:numPr>
              <w:tabs>
                <w:tab w:val="left" w:pos="-144"/>
                <w:tab w:val="left" w:pos="576"/>
              </w:tabs>
              <w:spacing w:after="120" w:line="240" w:lineRule="auto"/>
              <w:ind w:hanging="288"/>
              <w:jc w:val="both"/>
            </w:pPr>
            <w:r>
              <w:rPr>
                <w:rFonts w:ascii="Arial" w:eastAsia="Arial" w:hAnsi="Arial" w:cs="Arial"/>
                <w:color w:val="000000"/>
                <w:sz w:val="24"/>
                <w:szCs w:val="24"/>
              </w:rPr>
              <w:t>Reimbursable Expenses to the extent these have been specified as allowable in the Order Form</w:t>
            </w:r>
            <w:r>
              <w:rPr>
                <w:rFonts w:ascii="Arial" w:eastAsia="Arial" w:hAnsi="Arial" w:cs="Arial"/>
                <w:color w:val="000000"/>
                <w:sz w:val="24"/>
                <w:szCs w:val="24"/>
              </w:rPr>
              <w:t xml:space="preserve"> and are incurred in delivering any Deliverables;</w:t>
            </w:r>
          </w:p>
          <w:p w:rsidR="00CB1396" w:rsidRDefault="00B823E2">
            <w:pPr>
              <w:pStyle w:val="Standard"/>
              <w:tabs>
                <w:tab w:val="left" w:pos="-179"/>
                <w:tab w:val="left" w:pos="411"/>
              </w:tabs>
              <w:spacing w:after="120" w:line="240" w:lineRule="auto"/>
              <w:jc w:val="both"/>
            </w:pPr>
            <w:r>
              <w:rPr>
                <w:rFonts w:ascii="Arial" w:eastAsia="Arial" w:hAnsi="Arial" w:cs="Arial"/>
                <w:color w:val="000000"/>
                <w:sz w:val="24"/>
                <w:szCs w:val="24"/>
              </w:rPr>
              <w:tab/>
              <w:t>but excluding:</w:t>
            </w:r>
          </w:p>
          <w:p w:rsidR="00CB1396" w:rsidRDefault="00B823E2">
            <w:pPr>
              <w:pStyle w:val="Standard"/>
              <w:numPr>
                <w:ilvl w:val="1"/>
                <w:numId w:val="11"/>
              </w:numPr>
              <w:tabs>
                <w:tab w:val="left" w:pos="0"/>
                <w:tab w:val="left" w:pos="720"/>
              </w:tabs>
              <w:spacing w:after="120" w:line="240" w:lineRule="auto"/>
              <w:ind w:left="576" w:hanging="432"/>
              <w:jc w:val="both"/>
            </w:pPr>
            <w:r>
              <w:rPr>
                <w:rFonts w:ascii="Arial" w:eastAsia="Arial" w:hAnsi="Arial" w:cs="Arial"/>
                <w:color w:val="000000"/>
                <w:sz w:val="24"/>
                <w:szCs w:val="24"/>
              </w:rPr>
              <w:t>Overhead;</w:t>
            </w:r>
          </w:p>
          <w:p w:rsidR="00CB1396" w:rsidRDefault="00B823E2">
            <w:pPr>
              <w:pStyle w:val="Standard"/>
              <w:numPr>
                <w:ilvl w:val="1"/>
                <w:numId w:val="11"/>
              </w:numPr>
              <w:tabs>
                <w:tab w:val="left" w:pos="0"/>
                <w:tab w:val="left" w:pos="720"/>
              </w:tabs>
              <w:spacing w:after="120" w:line="240" w:lineRule="auto"/>
              <w:ind w:left="576" w:hanging="432"/>
              <w:jc w:val="both"/>
            </w:pPr>
            <w:r>
              <w:rPr>
                <w:rFonts w:ascii="Arial" w:eastAsia="Arial" w:hAnsi="Arial" w:cs="Arial"/>
                <w:color w:val="000000"/>
                <w:sz w:val="24"/>
                <w:szCs w:val="24"/>
              </w:rPr>
              <w:t>financing or similar costs;</w:t>
            </w:r>
          </w:p>
          <w:p w:rsidR="00CB1396" w:rsidRDefault="00B823E2">
            <w:pPr>
              <w:pStyle w:val="Standard"/>
              <w:numPr>
                <w:ilvl w:val="1"/>
                <w:numId w:val="11"/>
              </w:numPr>
              <w:tabs>
                <w:tab w:val="left" w:pos="-144"/>
                <w:tab w:val="left" w:pos="576"/>
              </w:tabs>
              <w:spacing w:after="120" w:line="240" w:lineRule="auto"/>
              <w:ind w:hanging="288"/>
              <w:jc w:val="both"/>
            </w:pPr>
            <w:r>
              <w:rPr>
                <w:rFonts w:ascii="Arial" w:eastAsia="Arial" w:hAnsi="Arial" w:cs="Arial"/>
                <w:color w:val="000000"/>
                <w:sz w:val="24"/>
                <w:szCs w:val="24"/>
              </w:rPr>
              <w:t xml:space="preserve">maintenance and support costs to the extent that these relate to maintenance and/or support Deliverables provided beyond the Call-Off Contract Period </w:t>
            </w:r>
            <w:r>
              <w:rPr>
                <w:rFonts w:ascii="Arial" w:eastAsia="Arial" w:hAnsi="Arial" w:cs="Arial"/>
                <w:color w:val="000000"/>
                <w:sz w:val="24"/>
                <w:szCs w:val="24"/>
              </w:rPr>
              <w:t>whether in relation to Supplier Assets or otherwise;</w:t>
            </w:r>
          </w:p>
          <w:p w:rsidR="00CB1396" w:rsidRDefault="00B823E2">
            <w:pPr>
              <w:pStyle w:val="Standard"/>
              <w:numPr>
                <w:ilvl w:val="1"/>
                <w:numId w:val="11"/>
              </w:numPr>
              <w:tabs>
                <w:tab w:val="left" w:pos="113"/>
                <w:tab w:val="left" w:pos="833"/>
              </w:tabs>
              <w:spacing w:after="120" w:line="240" w:lineRule="auto"/>
              <w:ind w:left="689" w:hanging="545"/>
              <w:jc w:val="both"/>
            </w:pPr>
            <w:r>
              <w:rPr>
                <w:rFonts w:ascii="Arial" w:eastAsia="Arial" w:hAnsi="Arial" w:cs="Arial"/>
                <w:color w:val="000000"/>
                <w:sz w:val="24"/>
                <w:szCs w:val="24"/>
              </w:rPr>
              <w:t>taxation;</w:t>
            </w:r>
          </w:p>
          <w:p w:rsidR="00CB1396" w:rsidRDefault="00B823E2">
            <w:pPr>
              <w:pStyle w:val="Standard"/>
              <w:numPr>
                <w:ilvl w:val="1"/>
                <w:numId w:val="11"/>
              </w:numPr>
              <w:tabs>
                <w:tab w:val="left" w:pos="113"/>
                <w:tab w:val="left" w:pos="833"/>
              </w:tabs>
              <w:spacing w:after="120" w:line="240" w:lineRule="auto"/>
              <w:ind w:left="689" w:hanging="545"/>
              <w:jc w:val="both"/>
            </w:pPr>
            <w:r>
              <w:rPr>
                <w:rFonts w:ascii="Arial" w:eastAsia="Arial" w:hAnsi="Arial" w:cs="Arial"/>
                <w:color w:val="000000"/>
                <w:sz w:val="24"/>
                <w:szCs w:val="24"/>
              </w:rPr>
              <w:t>fines and penalties;</w:t>
            </w:r>
          </w:p>
          <w:p w:rsidR="00CB1396" w:rsidRDefault="00B823E2">
            <w:pPr>
              <w:pStyle w:val="Standard"/>
              <w:numPr>
                <w:ilvl w:val="1"/>
                <w:numId w:val="11"/>
              </w:numPr>
              <w:tabs>
                <w:tab w:val="left" w:pos="-144"/>
                <w:tab w:val="left" w:pos="576"/>
              </w:tabs>
              <w:spacing w:after="120" w:line="240" w:lineRule="auto"/>
              <w:ind w:hanging="288"/>
              <w:jc w:val="both"/>
            </w:pPr>
            <w:r>
              <w:rPr>
                <w:rFonts w:ascii="Arial" w:eastAsia="Arial" w:hAnsi="Arial" w:cs="Arial"/>
                <w:color w:val="000000"/>
                <w:sz w:val="24"/>
                <w:szCs w:val="24"/>
              </w:rPr>
              <w:t>amounts payable under Call-Off Schedule 16 (Benchmarking) where such Schedule is used; and</w:t>
            </w:r>
          </w:p>
          <w:p w:rsidR="00CB1396" w:rsidRDefault="00B823E2">
            <w:pPr>
              <w:pStyle w:val="Standard"/>
              <w:numPr>
                <w:ilvl w:val="1"/>
                <w:numId w:val="11"/>
              </w:numPr>
              <w:tabs>
                <w:tab w:val="left" w:pos="-144"/>
                <w:tab w:val="left" w:pos="576"/>
              </w:tabs>
              <w:spacing w:after="120" w:line="240" w:lineRule="auto"/>
              <w:ind w:hanging="288"/>
              <w:jc w:val="both"/>
            </w:pPr>
            <w:r>
              <w:rPr>
                <w:rFonts w:ascii="Arial" w:eastAsia="Arial" w:hAnsi="Arial" w:cs="Arial"/>
                <w:color w:val="000000"/>
                <w:sz w:val="24"/>
                <w:szCs w:val="24"/>
              </w:rPr>
              <w:t>non-cash items (including depreciation, amortisation, impairments and movements i</w:t>
            </w:r>
            <w:r>
              <w:rPr>
                <w:rFonts w:ascii="Arial" w:eastAsia="Arial" w:hAnsi="Arial" w:cs="Arial"/>
                <w:color w:val="000000"/>
                <w:sz w:val="24"/>
                <w:szCs w:val="24"/>
              </w:rPr>
              <w:t>n provisions);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"CRTPA"</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Contract Rights of Third Parties Act 1999;</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“Data Protection Impact Assessment”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 assessment by the Controller of the impact of the envisaged Processing on the protection of Personal Data;</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"Data Protection Legislation"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sz w:val="24"/>
                <w:szCs w:val="24"/>
              </w:rPr>
              <w:t xml:space="preserve">the UK </w:t>
            </w:r>
            <w:r>
              <w:rPr>
                <w:rFonts w:ascii="Arial" w:eastAsia="Arial" w:hAnsi="Arial" w:cs="Arial"/>
                <w:sz w:val="24"/>
                <w:szCs w:val="24"/>
              </w:rPr>
              <w:t>GDPR, the LED and any applicable national implementing Laws as amended from time to time; (ii) the DPA 2018 to the extent that it relates to Processing of personal data Personal Data and privacy; (iii) all applicable Law about the Processing of personal da</w:t>
            </w:r>
            <w:r>
              <w:rPr>
                <w:rFonts w:ascii="Arial" w:eastAsia="Arial" w:hAnsi="Arial" w:cs="Arial"/>
                <w:sz w:val="24"/>
                <w:szCs w:val="24"/>
              </w:rPr>
              <w:t>ta Personal Data and privacy;</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“Data Protection Liability Cap”</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amount specified in the Framework Award Form;</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"Data Protection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UK GDPR;</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"Data Subject"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UK GDPR;</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 xml:space="preserve">"Data </w:t>
            </w:r>
            <w:r>
              <w:rPr>
                <w:rFonts w:ascii="Arial" w:eastAsia="Arial" w:hAnsi="Arial" w:cs="Arial"/>
                <w:b/>
                <w:color w:val="000000"/>
                <w:sz w:val="24"/>
                <w:szCs w:val="24"/>
              </w:rPr>
              <w:t>Subject Access Request"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"Deductions"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all Service Credits, Delay Payments (if applicable), or an</w:t>
            </w:r>
            <w:r>
              <w:rPr>
                <w:rFonts w:ascii="Arial" w:eastAsia="Arial" w:hAnsi="Arial" w:cs="Arial"/>
                <w:color w:val="000000"/>
                <w:sz w:val="24"/>
                <w:szCs w:val="24"/>
              </w:rPr>
              <w:t>y other deduction which the Buyer is paid or is payable to the Buyer under a Call-Off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"Default"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breach of the obligations of the Supplier (including abandonment of a Contract in breach of its terms) or any other default (including material d</w:t>
            </w:r>
            <w:r>
              <w:rPr>
                <w:rFonts w:ascii="Arial" w:eastAsia="Arial" w:hAnsi="Arial" w:cs="Arial"/>
                <w:color w:val="000000"/>
                <w:sz w:val="24"/>
                <w:szCs w:val="24"/>
              </w:rPr>
              <w:t>efault), act, omission, negligence or statement of the Supplier, of its Subcontractors or any Supplier Staff howsoever arising in connection with or in relation to the subject-matter of a Contract and in respect of which the Supplier is liable to the Relev</w:t>
            </w:r>
            <w:r>
              <w:rPr>
                <w:rFonts w:ascii="Arial" w:eastAsia="Arial" w:hAnsi="Arial" w:cs="Arial"/>
                <w:color w:val="000000"/>
                <w:sz w:val="24"/>
                <w:szCs w:val="24"/>
              </w:rPr>
              <w:t>ant Authority;</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"Default Management Charge"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Paragraph 8.1.1 of Framework Schedule 5 (Management Charges and Information);</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"Delay Payments"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amounts (if any) payable by the Supplier to the Buyer in respect of a delay in re</w:t>
            </w:r>
            <w:r>
              <w:rPr>
                <w:rFonts w:ascii="Arial" w:eastAsia="Arial" w:hAnsi="Arial" w:cs="Arial"/>
                <w:color w:val="000000"/>
                <w:sz w:val="24"/>
                <w:szCs w:val="24"/>
              </w:rPr>
              <w:t>spect of a Milestone as specified in the Implementation Plan;</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"Deliverables"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Goods and/or Services that may be ordered under the Contract including the Documentation;</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"Delivery"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delivery of the relevant Deliverable or Milestone in accordance with the </w:t>
            </w:r>
            <w:r>
              <w:rPr>
                <w:rFonts w:ascii="Arial" w:eastAsia="Arial" w:hAnsi="Arial" w:cs="Arial"/>
                <w:color w:val="000000"/>
                <w:sz w:val="24"/>
                <w:szCs w:val="24"/>
              </w:rPr>
              <w:t>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w:t>
            </w:r>
            <w:r>
              <w:rPr>
                <w:rFonts w:ascii="Arial" w:eastAsia="Arial" w:hAnsi="Arial" w:cs="Arial"/>
                <w:b/>
                <w:color w:val="000000"/>
                <w:sz w:val="24"/>
                <w:szCs w:val="24"/>
              </w:rPr>
              <w:t>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"Disclosing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"Dispute"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claim, dispute </w:t>
            </w:r>
            <w:r>
              <w:rPr>
                <w:rFonts w:ascii="Arial" w:eastAsia="Arial" w:hAnsi="Arial" w:cs="Arial"/>
                <w:color w:val="000000"/>
                <w:sz w:val="24"/>
                <w:szCs w:val="24"/>
              </w:rPr>
              <w:t>or difference (whether contractual or non-contractual) arising out of or in connection with the Contract or in connection with the negotiation, existence, legal validity, enforceability or termination of the Contract, whether the alleged liability shall ar</w:t>
            </w:r>
            <w:r>
              <w:rPr>
                <w:rFonts w:ascii="Arial" w:eastAsia="Arial" w:hAnsi="Arial" w:cs="Arial"/>
                <w:color w:val="000000"/>
                <w:sz w:val="24"/>
                <w:szCs w:val="24"/>
              </w:rPr>
              <w:t>ise under English law or under the law of some other country and regardless of whether a particular cause of action may successfully be brought in the English courts;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"Dispute Resolution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dispute resolution procedure set out in Clause 34 (R</w:t>
            </w:r>
            <w:r>
              <w:rPr>
                <w:rFonts w:ascii="Arial" w:eastAsia="Arial" w:hAnsi="Arial" w:cs="Arial"/>
                <w:color w:val="000000"/>
                <w:sz w:val="24"/>
                <w:szCs w:val="24"/>
              </w:rPr>
              <w:t>esolving disputes);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"Documentation"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w:t>
            </w:r>
            <w:r>
              <w:rPr>
                <w:rFonts w:ascii="Arial" w:eastAsia="Arial" w:hAnsi="Arial" w:cs="Arial"/>
                <w:color w:val="000000"/>
                <w:sz w:val="24"/>
                <w:szCs w:val="24"/>
              </w:rPr>
              <w:t>documentation (whether in hardcopy or electronic form) is required to be supplied by the Supplier to the Buyer under a Contract as:</w:t>
            </w:r>
          </w:p>
          <w:p w:rsidR="00CB1396" w:rsidRDefault="00B823E2">
            <w:pPr>
              <w:pStyle w:val="Standard"/>
              <w:numPr>
                <w:ilvl w:val="0"/>
                <w:numId w:val="27"/>
              </w:numPr>
              <w:tabs>
                <w:tab w:val="left" w:pos="144"/>
                <w:tab w:val="left" w:pos="864"/>
              </w:tabs>
              <w:jc w:val="both"/>
            </w:pPr>
            <w:r>
              <w:rPr>
                <w:rFonts w:ascii="Arial" w:eastAsia="Arial" w:hAnsi="Arial" w:cs="Arial"/>
                <w:color w:val="000000"/>
                <w:sz w:val="24"/>
                <w:szCs w:val="24"/>
              </w:rPr>
              <w:t>would reasonably be required by a competent third party capable of Good Industry Practice contracted by the Buyer to develop</w:t>
            </w:r>
            <w:r>
              <w:rPr>
                <w:rFonts w:ascii="Arial" w:eastAsia="Arial" w:hAnsi="Arial" w:cs="Arial"/>
                <w:color w:val="000000"/>
                <w:sz w:val="24"/>
                <w:szCs w:val="24"/>
              </w:rPr>
              <w:t>, configure, build, deploy, run, maintain, upgrade and test the individual systems that provide the Deliverables</w:t>
            </w:r>
          </w:p>
          <w:p w:rsidR="00CB1396" w:rsidRDefault="00B823E2">
            <w:pPr>
              <w:pStyle w:val="Standard"/>
              <w:numPr>
                <w:ilvl w:val="0"/>
                <w:numId w:val="5"/>
              </w:numPr>
              <w:tabs>
                <w:tab w:val="left" w:pos="144"/>
                <w:tab w:val="left" w:pos="864"/>
              </w:tabs>
              <w:jc w:val="both"/>
            </w:pPr>
            <w:r>
              <w:rPr>
                <w:rFonts w:ascii="Arial" w:eastAsia="Arial" w:hAnsi="Arial" w:cs="Arial"/>
                <w:color w:val="000000"/>
                <w:sz w:val="24"/>
                <w:szCs w:val="24"/>
              </w:rPr>
              <w:t>is required by the Supplier in order to provide the Deliverables; and/or</w:t>
            </w:r>
          </w:p>
          <w:p w:rsidR="00CB1396" w:rsidRDefault="00B823E2">
            <w:pPr>
              <w:pStyle w:val="Standard"/>
              <w:numPr>
                <w:ilvl w:val="0"/>
                <w:numId w:val="5"/>
              </w:numPr>
              <w:tabs>
                <w:tab w:val="left" w:pos="144"/>
                <w:tab w:val="left" w:pos="864"/>
              </w:tabs>
              <w:spacing w:after="120" w:line="240" w:lineRule="auto"/>
              <w:jc w:val="both"/>
            </w:pPr>
            <w:r>
              <w:rPr>
                <w:rFonts w:ascii="Arial" w:eastAsia="Arial" w:hAnsi="Arial" w:cs="Arial"/>
                <w:color w:val="000000"/>
                <w:sz w:val="24"/>
                <w:szCs w:val="24"/>
              </w:rPr>
              <w:t>has been or shall be generated for the purpose of providing the Delive</w:t>
            </w:r>
            <w:r>
              <w:rPr>
                <w:rFonts w:ascii="Arial" w:eastAsia="Arial" w:hAnsi="Arial" w:cs="Arial"/>
                <w:color w:val="000000"/>
                <w:sz w:val="24"/>
                <w:szCs w:val="24"/>
              </w:rPr>
              <w:t>rables;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"DOTAS"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401"/>
                <w:tab w:val="left" w:pos="319"/>
              </w:tabs>
              <w:spacing w:after="120" w:line="240" w:lineRule="auto"/>
              <w:ind w:left="175"/>
              <w:jc w:val="both"/>
            </w:pPr>
            <w:r>
              <w:rPr>
                <w:rFonts w:ascii="Arial" w:eastAsia="Arial" w:hAnsi="Arial" w:cs="Arial"/>
                <w:color w:val="000000"/>
                <w:sz w:val="24"/>
                <w:szCs w:val="24"/>
              </w:rPr>
              <w:t xml:space="preserve">the Disclosure of Tax Avoidance Schemes rules which require a promoter of </w:t>
            </w:r>
            <w:r>
              <w:rPr>
                <w:rFonts w:ascii="Arial" w:eastAsia="Arial" w:hAnsi="Arial" w:cs="Arial"/>
                <w:sz w:val="24"/>
                <w:szCs w:val="24"/>
              </w:rPr>
              <w:t>T</w:t>
            </w:r>
            <w:r>
              <w:rPr>
                <w:rFonts w:ascii="Arial" w:eastAsia="Arial" w:hAnsi="Arial" w:cs="Arial"/>
                <w:color w:val="000000"/>
                <w:sz w:val="24"/>
                <w:szCs w:val="24"/>
              </w:rPr>
              <w:t xml:space="preserve">ax schemes to tell HMRC of any specified notifiable arrangements or proposals and to provide prescribed information on those arrangements or proposals within set </w:t>
            </w:r>
            <w:r>
              <w:rPr>
                <w:rFonts w:ascii="Arial" w:eastAsia="Arial" w:hAnsi="Arial" w:cs="Arial"/>
                <w:color w:val="000000"/>
                <w:sz w:val="24"/>
                <w:szCs w:val="24"/>
              </w:rPr>
              <w:t>time limits as contained in Part 7 of the Finance Act 2004 and in secondary legislation made under vires contained in Part 7 of the Finance Act 2004 and as extended to National Insurance Contributions;</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“DPA 2018”</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the Data Protection Act 2018;</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 xml:space="preserve">"Due </w:t>
            </w:r>
            <w:r>
              <w:rPr>
                <w:rFonts w:ascii="Arial" w:eastAsia="Arial" w:hAnsi="Arial" w:cs="Arial"/>
                <w:b/>
                <w:color w:val="000000"/>
                <w:sz w:val="24"/>
                <w:szCs w:val="24"/>
              </w:rPr>
              <w:t>Diligence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any information supplied to the Supplier by or on behalf of the Authority prior to the Start Date;</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“Effective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the date on which the final Party has signed the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"EIR"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Environmental Information Regulations 2004;</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“Electronic Invoice”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w:t>
            </w:r>
            <w:r>
              <w:rPr>
                <w:rFonts w:ascii="Arial" w:eastAsia="Arial" w:hAnsi="Arial" w:cs="Arial"/>
                <w:color w:val="000000"/>
                <w:sz w:val="24"/>
                <w:szCs w:val="24"/>
              </w:rPr>
              <w:t>ed in Commission Implementing Decision (EU) 2017/1870;</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"Employment Regulations"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w:t>
            </w:r>
            <w:r>
              <w:rPr>
                <w:rFonts w:ascii="Arial" w:eastAsia="Arial" w:hAnsi="Arial" w:cs="Arial"/>
                <w:color w:val="000000"/>
                <w:sz w:val="24"/>
                <w:szCs w:val="24"/>
              </w:rPr>
              <w:t>ive 77/187/EEC;</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"End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576"/>
                <w:tab w:val="left" w:pos="144"/>
              </w:tabs>
              <w:spacing w:after="120" w:line="240" w:lineRule="auto"/>
              <w:ind w:firstLine="141"/>
              <w:jc w:val="both"/>
            </w:pPr>
            <w:r>
              <w:rPr>
                <w:rFonts w:ascii="Arial" w:eastAsia="Arial" w:hAnsi="Arial" w:cs="Arial"/>
                <w:color w:val="000000"/>
                <w:sz w:val="24"/>
                <w:szCs w:val="24"/>
              </w:rPr>
              <w:t>the earlier of:</w:t>
            </w:r>
          </w:p>
          <w:p w:rsidR="00CB1396" w:rsidRDefault="00B823E2">
            <w:pPr>
              <w:pStyle w:val="Standard"/>
              <w:numPr>
                <w:ilvl w:val="0"/>
                <w:numId w:val="28"/>
              </w:numPr>
              <w:tabs>
                <w:tab w:val="left" w:pos="144"/>
                <w:tab w:val="left" w:pos="864"/>
              </w:tabs>
              <w:jc w:val="both"/>
            </w:pPr>
            <w:r>
              <w:rPr>
                <w:rFonts w:ascii="Arial" w:eastAsia="Arial" w:hAnsi="Arial" w:cs="Arial"/>
                <w:color w:val="000000"/>
                <w:sz w:val="24"/>
                <w:szCs w:val="24"/>
              </w:rPr>
              <w:t>the Expiry Date (as extended by any Extension Period exercised by the Relevant Authority under Clause 10.1.2); or</w:t>
            </w:r>
          </w:p>
          <w:p w:rsidR="00CB1396" w:rsidRDefault="00B823E2">
            <w:pPr>
              <w:pStyle w:val="Standard"/>
              <w:numPr>
                <w:ilvl w:val="0"/>
                <w:numId w:val="8"/>
              </w:numPr>
              <w:tabs>
                <w:tab w:val="left" w:pos="144"/>
                <w:tab w:val="left" w:pos="864"/>
              </w:tabs>
              <w:spacing w:after="120" w:line="240" w:lineRule="auto"/>
              <w:jc w:val="both"/>
            </w:pPr>
            <w:r>
              <w:rPr>
                <w:rFonts w:ascii="Arial" w:eastAsia="Arial" w:hAnsi="Arial" w:cs="Arial"/>
                <w:color w:val="000000"/>
                <w:sz w:val="24"/>
                <w:szCs w:val="24"/>
              </w:rPr>
              <w:t xml:space="preserve">if a Contract is terminated before the date specified in (a) above, the date of termination of </w:t>
            </w:r>
            <w:r>
              <w:rPr>
                <w:rFonts w:ascii="Arial" w:eastAsia="Arial" w:hAnsi="Arial" w:cs="Arial"/>
                <w:color w:val="000000"/>
                <w:sz w:val="24"/>
                <w:szCs w:val="24"/>
              </w:rPr>
              <w:t>the Contract;</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"Environmental Policy"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w:t>
            </w:r>
            <w:r>
              <w:rPr>
                <w:rFonts w:ascii="Arial" w:eastAsia="Arial" w:hAnsi="Arial" w:cs="Arial"/>
                <w:color w:val="000000"/>
                <w:sz w:val="24"/>
                <w:szCs w:val="24"/>
              </w:rPr>
              <w:t xml:space="preserve"> damaging to health and the environment, including any written environmental policy of the Buyer;</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"Equality and Human Rights Commission"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UK Government body named as such as may be renamed or replaced by an equivalent body from time to time;</w:t>
            </w:r>
          </w:p>
        </w:tc>
      </w:tr>
      <w:tr w:rsidR="00CB1396">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“Estimate</w:t>
            </w:r>
            <w:r>
              <w:rPr>
                <w:rFonts w:ascii="Arial" w:eastAsia="Arial" w:hAnsi="Arial" w:cs="Arial"/>
                <w:b/>
                <w:color w:val="000000"/>
                <w:sz w:val="24"/>
                <w:szCs w:val="24"/>
              </w:rPr>
              <w:t>d Year 1 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s>
              <w:spacing w:after="120" w:line="240" w:lineRule="auto"/>
              <w:jc w:val="both"/>
            </w:pPr>
            <w:r>
              <w:rPr>
                <w:rFonts w:ascii="Arial" w:eastAsia="Arial" w:hAnsi="Arial" w:cs="Arial"/>
                <w:color w:val="000000"/>
                <w:sz w:val="24"/>
                <w:szCs w:val="24"/>
              </w:rPr>
              <w:t>the anticipated total Charges payable by the Buyer in the first Contract Year specified in the Order Form;</w:t>
            </w:r>
          </w:p>
        </w:tc>
      </w:tr>
    </w:tbl>
    <w:p w:rsidR="00CB1396" w:rsidRDefault="00CB1396">
      <w:pPr>
        <w:pStyle w:val="Standard"/>
        <w:spacing w:after="0" w:line="240" w:lineRule="auto"/>
        <w:rPr>
          <w:rFonts w:ascii="Arial" w:eastAsia="Arial" w:hAnsi="Arial" w:cs="Arial"/>
          <w:color w:val="000000"/>
          <w:sz w:val="24"/>
          <w:szCs w:val="24"/>
        </w:rPr>
      </w:pPr>
    </w:p>
    <w:tbl>
      <w:tblPr>
        <w:tblW w:w="9750" w:type="dxa"/>
        <w:tblLayout w:type="fixed"/>
        <w:tblCellMar>
          <w:left w:w="10" w:type="dxa"/>
          <w:right w:w="10" w:type="dxa"/>
        </w:tblCellMar>
        <w:tblLook w:val="04A0" w:firstRow="1" w:lastRow="0" w:firstColumn="1" w:lastColumn="0" w:noHBand="0" w:noVBand="1"/>
      </w:tblPr>
      <w:tblGrid>
        <w:gridCol w:w="2399"/>
        <w:gridCol w:w="7350"/>
      </w:tblGrid>
      <w:tr w:rsidR="00CB1396">
        <w:tblPrEx>
          <w:tblCellMar>
            <w:top w:w="0" w:type="dxa"/>
            <w:bottom w:w="0" w:type="dxa"/>
          </w:tblCellMar>
        </w:tblPrEx>
        <w:tc>
          <w:tcPr>
            <w:tcW w:w="2399" w:type="dxa"/>
            <w:tcBorders>
              <w:left w:val="single" w:sz="8" w:space="0" w:color="000000"/>
              <w:bottom w:val="single" w:sz="8" w:space="0" w:color="000000"/>
              <w:right w:val="single" w:sz="8" w:space="0" w:color="000000"/>
            </w:tcBorders>
            <w:tcMar>
              <w:top w:w="0" w:type="dxa"/>
              <w:left w:w="117"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"Estimated Yearly Charges"</w:t>
            </w:r>
          </w:p>
        </w:tc>
        <w:tc>
          <w:tcPr>
            <w:tcW w:w="7350" w:type="dxa"/>
            <w:tcBorders>
              <w:left w:val="single" w:sz="8" w:space="0" w:color="000000"/>
              <w:bottom w:val="single" w:sz="8" w:space="0" w:color="000000"/>
              <w:right w:val="single" w:sz="8" w:space="0" w:color="000000"/>
            </w:tcBorders>
            <w:tcMar>
              <w:top w:w="0" w:type="dxa"/>
              <w:left w:w="117" w:type="dxa"/>
              <w:bottom w:w="0" w:type="dxa"/>
              <w:right w:w="108" w:type="dxa"/>
            </w:tcMar>
          </w:tcPr>
          <w:p w:rsidR="00CB1396" w:rsidRDefault="00B823E2">
            <w:pPr>
              <w:pStyle w:val="Standard"/>
              <w:tabs>
                <w:tab w:val="left" w:pos="-179"/>
              </w:tabs>
              <w:spacing w:after="120" w:line="240" w:lineRule="auto"/>
              <w:jc w:val="both"/>
            </w:pPr>
            <w:r>
              <w:rPr>
                <w:rFonts w:ascii="Arial" w:eastAsia="Arial" w:hAnsi="Arial" w:cs="Arial"/>
                <w:color w:val="000000"/>
                <w:sz w:val="24"/>
                <w:szCs w:val="24"/>
              </w:rPr>
              <w:t>means for the purposes of calculating each Party’s annual liability under clause 11.2:</w:t>
            </w:r>
          </w:p>
          <w:p w:rsidR="00CB1396" w:rsidRDefault="00B823E2">
            <w:pPr>
              <w:pStyle w:val="Standard"/>
              <w:tabs>
                <w:tab w:val="left" w:pos="-179"/>
              </w:tabs>
              <w:spacing w:after="120" w:line="240" w:lineRule="auto"/>
              <w:jc w:val="both"/>
            </w:pPr>
            <w:r>
              <w:rPr>
                <w:rFonts w:ascii="Arial" w:eastAsia="Arial" w:hAnsi="Arial" w:cs="Arial"/>
                <w:color w:val="000000"/>
                <w:sz w:val="24"/>
                <w:szCs w:val="24"/>
              </w:rPr>
              <w:t xml:space="preserve">i)  in the </w:t>
            </w:r>
            <w:r>
              <w:rPr>
                <w:rFonts w:ascii="Arial" w:eastAsia="Arial" w:hAnsi="Arial" w:cs="Arial"/>
                <w:color w:val="000000"/>
                <w:sz w:val="24"/>
                <w:szCs w:val="24"/>
              </w:rPr>
              <w:t>first Contract Year, the Estimated Year 1 Charges; or</w:t>
            </w:r>
          </w:p>
          <w:p w:rsidR="00CB1396" w:rsidRDefault="00CB1396">
            <w:pPr>
              <w:pStyle w:val="Standard"/>
              <w:tabs>
                <w:tab w:val="left" w:pos="-179"/>
              </w:tabs>
              <w:spacing w:after="120" w:line="240" w:lineRule="auto"/>
              <w:jc w:val="both"/>
              <w:rPr>
                <w:rFonts w:ascii="Arial" w:eastAsia="Arial" w:hAnsi="Arial" w:cs="Arial"/>
                <w:color w:val="000000"/>
                <w:sz w:val="24"/>
                <w:szCs w:val="24"/>
              </w:rPr>
            </w:pPr>
          </w:p>
          <w:p w:rsidR="00CB1396" w:rsidRDefault="00B823E2">
            <w:pPr>
              <w:pStyle w:val="Standard"/>
              <w:tabs>
                <w:tab w:val="left" w:pos="-179"/>
              </w:tabs>
              <w:spacing w:after="120" w:line="240" w:lineRule="auto"/>
              <w:jc w:val="both"/>
            </w:pPr>
            <w:r>
              <w:rPr>
                <w:rFonts w:ascii="Arial" w:eastAsia="Arial" w:hAnsi="Arial" w:cs="Arial"/>
                <w:color w:val="000000"/>
                <w:sz w:val="24"/>
                <w:szCs w:val="24"/>
              </w:rPr>
              <w:t>ii) in any subsequent Contract Years, the Charges paid or payable in the previous Call-off Contract Year; or</w:t>
            </w:r>
          </w:p>
          <w:p w:rsidR="00CB1396" w:rsidRDefault="00CB1396">
            <w:pPr>
              <w:pStyle w:val="Standard"/>
              <w:tabs>
                <w:tab w:val="left" w:pos="-179"/>
              </w:tabs>
              <w:spacing w:after="120" w:line="240" w:lineRule="auto"/>
              <w:jc w:val="both"/>
              <w:rPr>
                <w:rFonts w:ascii="Arial" w:eastAsia="Arial" w:hAnsi="Arial" w:cs="Arial"/>
                <w:color w:val="000000"/>
                <w:sz w:val="24"/>
                <w:szCs w:val="24"/>
              </w:rPr>
            </w:pPr>
          </w:p>
          <w:p w:rsidR="00CB1396" w:rsidRDefault="00B823E2">
            <w:pPr>
              <w:pStyle w:val="Standard"/>
              <w:tabs>
                <w:tab w:val="left" w:pos="-179"/>
              </w:tabs>
              <w:spacing w:after="120" w:line="240" w:lineRule="auto"/>
              <w:jc w:val="both"/>
            </w:pPr>
            <w:r>
              <w:rPr>
                <w:rFonts w:ascii="Arial" w:eastAsia="Arial" w:hAnsi="Arial" w:cs="Arial"/>
                <w:color w:val="000000"/>
                <w:sz w:val="24"/>
                <w:szCs w:val="24"/>
              </w:rPr>
              <w:t>iii) after the end of the Call-off Contract, the Charges paid or payable in the last Contr</w:t>
            </w:r>
            <w:r>
              <w:rPr>
                <w:rFonts w:ascii="Arial" w:eastAsia="Arial" w:hAnsi="Arial" w:cs="Arial"/>
                <w:color w:val="000000"/>
                <w:sz w:val="24"/>
                <w:szCs w:val="24"/>
              </w:rPr>
              <w:t>act Year during the Call-off Contract Period;  </w:t>
            </w:r>
          </w:p>
        </w:tc>
      </w:tr>
      <w:tr w:rsidR="00CB1396">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rsidR="00CB1396" w:rsidRDefault="00B823E2">
            <w:pPr>
              <w:pStyle w:val="Standard"/>
              <w:spacing w:after="120" w:line="240" w:lineRule="auto"/>
              <w:ind w:left="-108"/>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rsidR="00CB1396" w:rsidRDefault="00B823E2">
            <w:pPr>
              <w:pStyle w:val="Standard"/>
              <w:jc w:val="both"/>
            </w:pPr>
            <w:r>
              <w:rPr>
                <w:rFonts w:ascii="Arial" w:eastAsia="Arial" w:hAnsi="Arial" w:cs="Arial"/>
                <w:color w:val="000000"/>
                <w:sz w:val="24"/>
                <w:szCs w:val="24"/>
              </w:rPr>
              <w:t>a public sector purchaser that is:</w:t>
            </w:r>
          </w:p>
          <w:p w:rsidR="00CB1396" w:rsidRDefault="00B823E2">
            <w:pPr>
              <w:pStyle w:val="Standard"/>
              <w:numPr>
                <w:ilvl w:val="0"/>
                <w:numId w:val="29"/>
              </w:numPr>
              <w:tabs>
                <w:tab w:val="left" w:pos="209"/>
                <w:tab w:val="left" w:pos="379"/>
              </w:tabs>
              <w:spacing w:after="120" w:line="240" w:lineRule="auto"/>
              <w:ind w:left="388"/>
              <w:jc w:val="both"/>
            </w:pPr>
            <w:r>
              <w:rPr>
                <w:rFonts w:ascii="Arial" w:eastAsia="Arial" w:hAnsi="Arial" w:cs="Arial"/>
                <w:color w:val="000000"/>
                <w:sz w:val="24"/>
                <w:szCs w:val="24"/>
              </w:rPr>
              <w:t>eligible to use the Framework Contract; and</w:t>
            </w:r>
          </w:p>
          <w:p w:rsidR="00CB1396" w:rsidRDefault="00B823E2">
            <w:pPr>
              <w:pStyle w:val="Standard"/>
              <w:numPr>
                <w:ilvl w:val="0"/>
                <w:numId w:val="1"/>
              </w:numPr>
              <w:tabs>
                <w:tab w:val="left" w:pos="209"/>
                <w:tab w:val="left" w:pos="379"/>
              </w:tabs>
              <w:spacing w:after="120" w:line="240" w:lineRule="auto"/>
              <w:ind w:left="388"/>
              <w:jc w:val="both"/>
            </w:pPr>
            <w:r>
              <w:rPr>
                <w:rFonts w:ascii="Arial" w:eastAsia="Arial" w:hAnsi="Arial" w:cs="Arial"/>
                <w:color w:val="000000"/>
                <w:sz w:val="24"/>
                <w:szCs w:val="24"/>
              </w:rPr>
              <w:t>is entering into an Exempt Call-off Contract that is not subject to (as applicable) any of:</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the Regulations;</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 xml:space="preserve">the </w:t>
            </w:r>
            <w:r>
              <w:rPr>
                <w:rFonts w:ascii="Arial" w:eastAsia="Arial" w:hAnsi="Arial" w:cs="Arial"/>
                <w:color w:val="000000"/>
                <w:sz w:val="24"/>
                <w:szCs w:val="24"/>
              </w:rPr>
              <w:t>Concession Contracts Regulations 2016 (SI 2016/273);</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the Utilities Contracts Regulations 2016 (SI 2016/274);</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the Defence and Security Public Contracts Regulations 2011 (SI 2011/1848);</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the Remedies Directive (2007/66/EC);</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Directive 2014/23/EU of the Europea</w:t>
            </w:r>
            <w:r>
              <w:rPr>
                <w:rFonts w:ascii="Arial" w:eastAsia="Arial" w:hAnsi="Arial" w:cs="Arial"/>
                <w:color w:val="000000"/>
                <w:sz w:val="24"/>
                <w:szCs w:val="24"/>
              </w:rPr>
              <w:t>n Parliament and Council;</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Directive 2014/24/EU of the European Parliament and Council;</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Directive 2014/25/EU of the European Parliament and Council; or</w:t>
            </w:r>
          </w:p>
          <w:p w:rsidR="00CB1396" w:rsidRDefault="00B823E2">
            <w:pPr>
              <w:pStyle w:val="Standard"/>
              <w:numPr>
                <w:ilvl w:val="1"/>
                <w:numId w:val="1"/>
              </w:numPr>
              <w:tabs>
                <w:tab w:val="left" w:pos="635"/>
                <w:tab w:val="left" w:pos="805"/>
              </w:tabs>
              <w:spacing w:after="120" w:line="240" w:lineRule="auto"/>
              <w:ind w:left="814"/>
              <w:jc w:val="both"/>
            </w:pPr>
            <w:r>
              <w:rPr>
                <w:rFonts w:ascii="Arial" w:eastAsia="Arial" w:hAnsi="Arial" w:cs="Arial"/>
                <w:color w:val="000000"/>
                <w:sz w:val="24"/>
                <w:szCs w:val="24"/>
              </w:rPr>
              <w:t>Directive 2009/81/EC of the European Parliament and Council;</w:t>
            </w:r>
          </w:p>
        </w:tc>
      </w:tr>
      <w:tr w:rsidR="00CB1396">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rsidR="00CB1396" w:rsidRDefault="00B823E2">
            <w:pPr>
              <w:pStyle w:val="Standard"/>
              <w:spacing w:after="120" w:line="240" w:lineRule="auto"/>
              <w:ind w:left="-108"/>
            </w:pPr>
            <w:r>
              <w:rPr>
                <w:rFonts w:ascii="Arial" w:eastAsia="Arial" w:hAnsi="Arial" w:cs="Arial"/>
                <w:sz w:val="24"/>
                <w:szCs w:val="24"/>
              </w:rPr>
              <w:t>“</w:t>
            </w:r>
            <w:r>
              <w:rPr>
                <w:rFonts w:ascii="Arial" w:eastAsia="Arial" w:hAnsi="Arial" w:cs="Arial"/>
                <w:b/>
                <w:sz w:val="24"/>
                <w:szCs w:val="24"/>
              </w:rPr>
              <w:t>Exempt Call-off Contract</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rsidR="00CB1396" w:rsidRDefault="00B823E2">
            <w:pPr>
              <w:pStyle w:val="Standard"/>
              <w:jc w:val="both"/>
            </w:pPr>
            <w:r>
              <w:rPr>
                <w:rFonts w:ascii="Arial" w:eastAsia="Arial" w:hAnsi="Arial" w:cs="Arial"/>
                <w:color w:val="000000"/>
                <w:sz w:val="24"/>
                <w:szCs w:val="24"/>
              </w:rPr>
              <w:t>the contract bet</w:t>
            </w:r>
            <w:r>
              <w:rPr>
                <w:rFonts w:ascii="Arial" w:eastAsia="Arial" w:hAnsi="Arial" w:cs="Arial"/>
                <w:color w:val="000000"/>
                <w:sz w:val="24"/>
                <w:szCs w:val="24"/>
              </w:rPr>
              <w:t>ween the Exempt Buyer and the Supplier for Deliverables which consists of the terms set out and referred to in the Order Form incorporating and, where necessary, amending, refining or adding to the terms of the Framework Contract;</w:t>
            </w:r>
          </w:p>
          <w:p w:rsidR="00CB1396" w:rsidRDefault="00CB1396">
            <w:pPr>
              <w:pStyle w:val="Standard"/>
              <w:tabs>
                <w:tab w:val="left" w:pos="-179"/>
              </w:tabs>
              <w:spacing w:after="120" w:line="240" w:lineRule="auto"/>
              <w:jc w:val="both"/>
              <w:rPr>
                <w:rFonts w:ascii="Arial" w:eastAsia="Arial" w:hAnsi="Arial" w:cs="Arial"/>
                <w:color w:val="000000"/>
                <w:sz w:val="24"/>
                <w:szCs w:val="24"/>
              </w:rPr>
            </w:pPr>
          </w:p>
        </w:tc>
      </w:tr>
      <w:tr w:rsidR="00CB1396">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rsidR="00CB1396" w:rsidRDefault="00B823E2">
            <w:pPr>
              <w:pStyle w:val="Standard"/>
              <w:spacing w:after="120" w:line="240" w:lineRule="auto"/>
              <w:ind w:left="-108"/>
            </w:pPr>
            <w:r>
              <w:rPr>
                <w:rFonts w:ascii="Arial" w:eastAsia="Arial" w:hAnsi="Arial" w:cs="Arial"/>
                <w:sz w:val="24"/>
                <w:szCs w:val="24"/>
              </w:rPr>
              <w:t>“</w:t>
            </w:r>
            <w:r>
              <w:rPr>
                <w:rFonts w:ascii="Arial" w:eastAsia="Arial" w:hAnsi="Arial" w:cs="Arial"/>
                <w:b/>
                <w:sz w:val="24"/>
                <w:szCs w:val="24"/>
              </w:rPr>
              <w:t xml:space="preserve">Exempt Procurement </w:t>
            </w:r>
            <w:r>
              <w:rPr>
                <w:rFonts w:ascii="Arial" w:eastAsia="Arial" w:hAnsi="Arial" w:cs="Arial"/>
                <w:b/>
                <w:sz w:val="24"/>
                <w:szCs w:val="24"/>
              </w:rPr>
              <w:t>Amendments</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rsidR="00CB1396" w:rsidRDefault="00B823E2">
            <w:pPr>
              <w:pStyle w:val="Standard"/>
              <w:jc w:val="both"/>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w:t>
            </w:r>
            <w:r>
              <w:rPr>
                <w:rFonts w:ascii="Arial" w:eastAsia="Arial" w:hAnsi="Arial" w:cs="Arial"/>
                <w:color w:val="000000"/>
                <w:sz w:val="24"/>
                <w:szCs w:val="24"/>
              </w:rPr>
              <w:t>ements applicable to that Exempt Buyer;</w:t>
            </w:r>
          </w:p>
          <w:p w:rsidR="00CB1396" w:rsidRDefault="00CB1396">
            <w:pPr>
              <w:pStyle w:val="Standard"/>
              <w:tabs>
                <w:tab w:val="left" w:pos="-179"/>
              </w:tabs>
              <w:spacing w:after="120" w:line="240" w:lineRule="auto"/>
              <w:jc w:val="both"/>
              <w:rPr>
                <w:rFonts w:ascii="Arial" w:eastAsia="Arial" w:hAnsi="Arial" w:cs="Arial"/>
                <w:color w:val="000000"/>
                <w:sz w:val="24"/>
                <w:szCs w:val="24"/>
              </w:rPr>
            </w:pPr>
          </w:p>
        </w:tc>
      </w:tr>
    </w:tbl>
    <w:p w:rsidR="00CB1396" w:rsidRDefault="00CB1396">
      <w:pPr>
        <w:pStyle w:val="Standard"/>
        <w:spacing w:after="0" w:line="240" w:lineRule="auto"/>
        <w:rPr>
          <w:rFonts w:ascii="Arial" w:eastAsia="Arial" w:hAnsi="Arial" w:cs="Arial"/>
          <w:color w:val="000000"/>
          <w:sz w:val="24"/>
          <w:szCs w:val="24"/>
        </w:rPr>
      </w:pPr>
    </w:p>
    <w:tbl>
      <w:tblPr>
        <w:tblW w:w="10860" w:type="dxa"/>
        <w:tblInd w:w="-870" w:type="dxa"/>
        <w:tblLayout w:type="fixed"/>
        <w:tblCellMar>
          <w:left w:w="10" w:type="dxa"/>
          <w:right w:w="10" w:type="dxa"/>
        </w:tblCellMar>
        <w:tblLook w:val="04A0" w:firstRow="1" w:lastRow="0" w:firstColumn="1" w:lastColumn="0" w:noHBand="0" w:noVBand="1"/>
      </w:tblPr>
      <w:tblGrid>
        <w:gridCol w:w="3268"/>
        <w:gridCol w:w="7591"/>
      </w:tblGrid>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"Existing IPR"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“Exit Day”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shall </w:t>
            </w:r>
            <w:r>
              <w:rPr>
                <w:rFonts w:ascii="Arial" w:eastAsia="Arial" w:hAnsi="Arial" w:cs="Arial"/>
                <w:color w:val="000000"/>
                <w:sz w:val="24"/>
                <w:szCs w:val="24"/>
              </w:rPr>
              <w:t>have the meaning in the European Union (Withdrawal) Act 2018;</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"Expiry Date"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the Framework Expiry Date or the Call-Off Expiry Date (as the context dictates);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"Extension Period"</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Framework Optional Extension Period or the Call-Off Optional Extension Pe</w:t>
            </w:r>
            <w:r>
              <w:rPr>
                <w:rFonts w:ascii="Arial" w:eastAsia="Arial" w:hAnsi="Arial" w:cs="Arial"/>
                <w:color w:val="000000"/>
                <w:sz w:val="24"/>
                <w:szCs w:val="24"/>
              </w:rPr>
              <w:t>riod as the context dictates;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"FOIA"</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w:t>
            </w:r>
            <w:r>
              <w:rPr>
                <w:rFonts w:ascii="Arial" w:eastAsia="Arial" w:hAnsi="Arial" w:cs="Arial"/>
                <w:color w:val="000000"/>
                <w:sz w:val="24"/>
                <w:szCs w:val="24"/>
              </w:rPr>
              <w:t>t department in relation to such legislation;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"Force Majeure Event"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event, </w:t>
            </w:r>
            <w:r>
              <w:rPr>
                <w:rFonts w:ascii="Arial" w:eastAsia="Arial" w:hAnsi="Arial" w:cs="Arial"/>
                <w:sz w:val="24"/>
                <w:szCs w:val="24"/>
              </w:rPr>
              <w:t xml:space="preserve">outside the reasonable control of each Party, </w:t>
            </w:r>
            <w:r>
              <w:rPr>
                <w:rFonts w:ascii="Arial" w:eastAsia="Arial" w:hAnsi="Arial" w:cs="Arial"/>
                <w:color w:val="000000"/>
                <w:sz w:val="24"/>
                <w:szCs w:val="24"/>
              </w:rPr>
              <w:t>affecting its</w:t>
            </w:r>
            <w:r>
              <w:rPr>
                <w:rFonts w:ascii="Arial" w:eastAsia="Arial" w:hAnsi="Arial" w:cs="Arial"/>
                <w:sz w:val="24"/>
                <w:szCs w:val="24"/>
              </w:rPr>
              <w:t xml:space="preserve"> </w:t>
            </w:r>
            <w:r>
              <w:rPr>
                <w:rFonts w:ascii="Arial" w:eastAsia="Arial" w:hAnsi="Arial" w:cs="Arial"/>
                <w:color w:val="000000"/>
                <w:sz w:val="24"/>
                <w:szCs w:val="24"/>
              </w:rPr>
              <w:t xml:space="preserve">performance of its obligations under the Contract arising from acts, events, omissions, happenings or non-happenings beyond </w:t>
            </w:r>
            <w:r>
              <w:rPr>
                <w:rFonts w:ascii="Arial" w:eastAsia="Arial" w:hAnsi="Arial" w:cs="Arial"/>
                <w:sz w:val="24"/>
                <w:szCs w:val="24"/>
              </w:rPr>
              <w:t>reasonable control</w:t>
            </w:r>
            <w:r>
              <w:rPr>
                <w:rFonts w:ascii="Arial" w:eastAsia="Arial" w:hAnsi="Arial" w:cs="Arial"/>
                <w:color w:val="000000"/>
                <w:sz w:val="24"/>
                <w:szCs w:val="24"/>
              </w:rPr>
              <w:t xml:space="preserve"> and which are not attributable to any wilful act, neglect or failure to take reasonable preventative action by </w:t>
            </w:r>
            <w:r>
              <w:rPr>
                <w:rFonts w:ascii="Arial" w:eastAsia="Arial" w:hAnsi="Arial" w:cs="Arial"/>
                <w:sz w:val="24"/>
                <w:szCs w:val="24"/>
              </w:rPr>
              <w:t>t</w:t>
            </w:r>
            <w:r>
              <w:rPr>
                <w:rFonts w:ascii="Arial" w:eastAsia="Arial" w:hAnsi="Arial" w:cs="Arial"/>
                <w:sz w:val="24"/>
                <w:szCs w:val="24"/>
              </w:rPr>
              <w:t xml:space="preserve">hat </w:t>
            </w:r>
            <w:r>
              <w:rPr>
                <w:rFonts w:ascii="Arial" w:eastAsia="Arial" w:hAnsi="Arial" w:cs="Arial"/>
                <w:color w:val="000000"/>
                <w:sz w:val="24"/>
                <w:szCs w:val="24"/>
              </w:rPr>
              <w:t>Party, including:</w:t>
            </w:r>
          </w:p>
          <w:p w:rsidR="00CB1396" w:rsidRDefault="00B823E2">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riots, civil commotion, war or armed conflict;</w:t>
            </w:r>
          </w:p>
          <w:p w:rsidR="00CB1396" w:rsidRDefault="00B823E2">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acts of terrorism;</w:t>
            </w:r>
          </w:p>
          <w:p w:rsidR="00CB1396" w:rsidRDefault="00B823E2">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 xml:space="preserve">acts of a </w:t>
            </w:r>
            <w:r>
              <w:rPr>
                <w:rFonts w:ascii="Arial" w:eastAsia="Arial" w:hAnsi="Arial" w:cs="Arial"/>
                <w:sz w:val="24"/>
                <w:szCs w:val="24"/>
              </w:rPr>
              <w:t>government</w:t>
            </w:r>
            <w:r>
              <w:rPr>
                <w:rFonts w:ascii="Arial" w:eastAsia="Arial" w:hAnsi="Arial" w:cs="Arial"/>
                <w:color w:val="000000"/>
                <w:sz w:val="24"/>
                <w:szCs w:val="24"/>
              </w:rPr>
              <w:t>, local government or regulatory bodies;</w:t>
            </w:r>
          </w:p>
          <w:p w:rsidR="00CB1396" w:rsidRDefault="00B823E2">
            <w:pPr>
              <w:pStyle w:val="Standard"/>
              <w:numPr>
                <w:ilvl w:val="1"/>
                <w:numId w:val="19"/>
              </w:numPr>
              <w:tabs>
                <w:tab w:val="left" w:pos="0"/>
                <w:tab w:val="left" w:pos="720"/>
              </w:tabs>
              <w:spacing w:after="120" w:line="240" w:lineRule="auto"/>
              <w:ind w:left="576" w:hanging="432"/>
              <w:jc w:val="both"/>
            </w:pPr>
            <w:r>
              <w:rPr>
                <w:rFonts w:ascii="Arial" w:eastAsia="Arial" w:hAnsi="Arial" w:cs="Arial"/>
                <w:color w:val="000000"/>
                <w:sz w:val="24"/>
                <w:szCs w:val="24"/>
              </w:rPr>
              <w:t>fire, flood, storm or earthquake or other natural disaster,</w:t>
            </w:r>
          </w:p>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 xml:space="preserve">but excluding any industrial dispute relating </w:t>
            </w:r>
            <w:r>
              <w:rPr>
                <w:rFonts w:ascii="Arial" w:eastAsia="Arial" w:hAnsi="Arial" w:cs="Arial"/>
                <w:color w:val="000000"/>
                <w:sz w:val="24"/>
                <w:szCs w:val="24"/>
              </w:rPr>
              <w:t>to the Supplier, the Supplier Staff or any other failure in the Supplier or the Subcontractor's supply chain;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"Force Majeure Notice"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written notice served by the Affected Party on the other Party stating that the Affected Party believes that there is a </w:t>
            </w:r>
            <w:r>
              <w:rPr>
                <w:rFonts w:ascii="Arial" w:eastAsia="Arial" w:hAnsi="Arial" w:cs="Arial"/>
                <w:color w:val="000000"/>
                <w:sz w:val="24"/>
                <w:szCs w:val="24"/>
              </w:rPr>
              <w:t>Force Majeure Event;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Award Form"</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Contract"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framework agreement establis</w:t>
            </w:r>
            <w:r>
              <w:rPr>
                <w:rFonts w:ascii="Arial" w:eastAsia="Arial" w:hAnsi="Arial" w:cs="Arial"/>
                <w:color w:val="000000"/>
                <w:sz w:val="24"/>
                <w:szCs w:val="24"/>
              </w:rPr>
              <w:t xml:space="preserve">hed between CCS and the Supplier in accordance with Regulation 33 by the Framework Award Form for the provision of the Deliverables to Buyers by the Supplier pursuant to the </w:t>
            </w:r>
            <w:r>
              <w:rPr>
                <w:rFonts w:ascii="Arial" w:eastAsia="Arial" w:hAnsi="Arial" w:cs="Arial"/>
                <w:sz w:val="24"/>
                <w:szCs w:val="24"/>
              </w:rPr>
              <w:t>notice published on the Find a Tender Service</w:t>
            </w:r>
            <w:r>
              <w:rPr>
                <w:rFonts w:ascii="Arial" w:eastAsia="Arial" w:hAnsi="Arial" w:cs="Arial"/>
                <w:color w:val="000000"/>
                <w:sz w:val="24"/>
                <w:szCs w:val="24"/>
              </w:rPr>
              <w: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Contract Period"</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pe</w:t>
            </w:r>
            <w:r>
              <w:rPr>
                <w:rFonts w:ascii="Arial" w:eastAsia="Arial" w:hAnsi="Arial" w:cs="Arial"/>
                <w:color w:val="000000"/>
                <w:sz w:val="24"/>
                <w:szCs w:val="24"/>
              </w:rPr>
              <w:t>riod from the Framework Start Date until the End Date of the Framework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Expiry Date"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scheduled date of the end of the Framework Contract as stated in the Framework Award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Incorporated Terms"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contractual terms </w:t>
            </w:r>
            <w:r>
              <w:rPr>
                <w:rFonts w:ascii="Arial" w:eastAsia="Arial" w:hAnsi="Arial" w:cs="Arial"/>
                <w:color w:val="000000"/>
                <w:sz w:val="24"/>
                <w:szCs w:val="24"/>
              </w:rPr>
              <w:t>applicable to the Framework Contract specified in the Framework Award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Optional Extension Period"</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such period or periods beyond which the Framework Contract Period may be extended as specified in the Framework Award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"Framework Price</w:t>
            </w:r>
            <w:r>
              <w:rPr>
                <w:rFonts w:ascii="Arial" w:eastAsia="Arial" w:hAnsi="Arial" w:cs="Arial"/>
                <w:b/>
                <w:color w:val="000000"/>
                <w:sz w:val="24"/>
                <w:szCs w:val="24"/>
              </w:rPr>
              <w:t>(s)"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price(s) applicable to the provision of the Deliverables set out in Framework Schedule 3 (Framework Prices);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Special Terms"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additional terms and conditions specified in the Framework Award Form incorporated into the Framework Contr</w:t>
            </w:r>
            <w:r>
              <w:rPr>
                <w:rFonts w:ascii="Arial" w:eastAsia="Arial" w:hAnsi="Arial" w:cs="Arial"/>
                <w:color w:val="000000"/>
                <w:sz w:val="24"/>
                <w:szCs w:val="24"/>
              </w:rPr>
              <w:t>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Start Date"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date of start of the Framework Contract as stated in the Framework Award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"Framework Tender Response"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tender submitted by the Supplier to CCS and annexed to or referred to in Framework Schedule 2 (Framework </w:t>
            </w:r>
            <w:r>
              <w:rPr>
                <w:rFonts w:ascii="Arial" w:eastAsia="Arial" w:hAnsi="Arial" w:cs="Arial"/>
                <w:color w:val="000000"/>
                <w:sz w:val="24"/>
                <w:szCs w:val="24"/>
              </w:rPr>
              <w:t>Tender);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"Further Competition Procedure"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further competition procedure described in Framework Schedule 7 (Call-Off Award Procedure);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"UK GDPR"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sz w:val="24"/>
                <w:szCs w:val="24"/>
              </w:rPr>
              <w:t xml:space="preserve">the retained EU law version of </w:t>
            </w:r>
            <w:r>
              <w:rPr>
                <w:rFonts w:ascii="Arial" w:eastAsia="Arial" w:hAnsi="Arial" w:cs="Arial"/>
                <w:color w:val="000000"/>
                <w:sz w:val="24"/>
                <w:szCs w:val="24"/>
              </w:rPr>
              <w:t>the General Data Protection Regulation (Regulation (EU) 2016/679);</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"General</w:t>
            </w:r>
            <w:r>
              <w:rPr>
                <w:rFonts w:ascii="Arial" w:eastAsia="Arial" w:hAnsi="Arial" w:cs="Arial"/>
                <w:b/>
                <w:color w:val="000000"/>
                <w:sz w:val="24"/>
                <w:szCs w:val="24"/>
              </w:rPr>
              <w:t xml:space="preserve"> Anti-Abuse Rule"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the legislation in Part 5 of the Finance Act 2013 and; and</w:t>
            </w:r>
          </w:p>
          <w:p w:rsidR="00CB1396" w:rsidRDefault="00B823E2">
            <w:pPr>
              <w:pStyle w:val="Standard"/>
              <w:numPr>
                <w:ilvl w:val="1"/>
                <w:numId w:val="19"/>
              </w:numPr>
              <w:tabs>
                <w:tab w:val="left" w:pos="-144"/>
                <w:tab w:val="left" w:pos="576"/>
              </w:tabs>
              <w:spacing w:after="120" w:line="240" w:lineRule="auto"/>
              <w:ind w:hanging="288"/>
              <w:jc w:val="both"/>
            </w:pPr>
            <w:r>
              <w:rPr>
                <w:rFonts w:ascii="Arial" w:eastAsia="Arial" w:hAnsi="Arial" w:cs="Arial"/>
                <w:color w:val="000000"/>
                <w:sz w:val="24"/>
                <w:szCs w:val="24"/>
              </w:rPr>
              <w:t>any future legislation introduced into parliament to counteract</w:t>
            </w:r>
            <w:r>
              <w:rPr>
                <w:rFonts w:ascii="Arial" w:eastAsia="Arial" w:hAnsi="Arial" w:cs="Arial"/>
                <w:sz w:val="24"/>
                <w:szCs w:val="24"/>
              </w:rPr>
              <w:t xml:space="preserve"> Tax</w:t>
            </w:r>
            <w:r>
              <w:rPr>
                <w:rFonts w:ascii="Arial" w:eastAsia="Arial" w:hAnsi="Arial" w:cs="Arial"/>
                <w:color w:val="000000"/>
                <w:sz w:val="24"/>
                <w:szCs w:val="24"/>
              </w:rPr>
              <w:t xml:space="preserve"> advantages arising from abusive arrangements to avoid National Insurance contributions;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"General Change in Law"</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Change in Law where the change is of a general legislative nature (including </w:t>
            </w:r>
            <w:r>
              <w:rPr>
                <w:rFonts w:ascii="Arial" w:eastAsia="Arial" w:hAnsi="Arial" w:cs="Arial"/>
                <w:sz w:val="24"/>
                <w:szCs w:val="24"/>
              </w:rPr>
              <w:t>T</w:t>
            </w:r>
            <w:r>
              <w:rPr>
                <w:rFonts w:ascii="Arial" w:eastAsia="Arial" w:hAnsi="Arial" w:cs="Arial"/>
                <w:color w:val="000000"/>
                <w:sz w:val="24"/>
                <w:szCs w:val="24"/>
              </w:rPr>
              <w:t xml:space="preserve">ax or duties of any sort affecting the Supplier) or which </w:t>
            </w:r>
            <w:r>
              <w:rPr>
                <w:rFonts w:ascii="Arial" w:eastAsia="Arial" w:hAnsi="Arial" w:cs="Arial"/>
                <w:color w:val="000000"/>
                <w:sz w:val="24"/>
                <w:szCs w:val="24"/>
              </w:rPr>
              <w:t>affects or relates to a Comparable Supply;</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"Goods"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"Good Industry Practice"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standards, </w:t>
            </w:r>
            <w:r>
              <w:rPr>
                <w:rFonts w:ascii="Arial" w:eastAsia="Arial" w:hAnsi="Arial" w:cs="Arial"/>
                <w:sz w:val="24"/>
                <w:szCs w:val="24"/>
              </w:rPr>
              <w:t>practises</w:t>
            </w:r>
            <w:r>
              <w:rPr>
                <w:rFonts w:ascii="Arial" w:eastAsia="Arial" w:hAnsi="Arial" w:cs="Arial"/>
                <w:color w:val="000000"/>
                <w:sz w:val="24"/>
                <w:szCs w:val="24"/>
              </w:rPr>
              <w:t>, methods and procedures conforming to the Law and the exercise of the degree of skill and care, diligence, prudence and foresight which would reasonably and ordinarily be expected from a skilled and experienced person or body engaged within the r</w:t>
            </w:r>
            <w:r>
              <w:rPr>
                <w:rFonts w:ascii="Arial" w:eastAsia="Arial" w:hAnsi="Arial" w:cs="Arial"/>
                <w:color w:val="000000"/>
                <w:sz w:val="24"/>
                <w:szCs w:val="24"/>
              </w:rPr>
              <w:t>elevant industry or business sector;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"Government"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government of the United Kingdom (including the Northern Ireland Assembly and Executive Committee, the Scottish Government and the National Assembly for Wales), including government ministers and </w:t>
            </w:r>
            <w:r>
              <w:rPr>
                <w:rFonts w:ascii="Arial" w:eastAsia="Arial" w:hAnsi="Arial" w:cs="Arial"/>
                <w:color w:val="000000"/>
                <w:sz w:val="24"/>
                <w:szCs w:val="24"/>
              </w:rPr>
              <w:t>government departments and other bodies, persons, commissions or agencies from time to time carrying out functions on its behalf;</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"Government Data"</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the data, text, drawings, diagrams, images or sounds (together with any database made up of any of these) w</w:t>
            </w:r>
            <w:r>
              <w:rPr>
                <w:rFonts w:ascii="Arial" w:eastAsia="Arial" w:hAnsi="Arial" w:cs="Arial"/>
                <w:color w:val="000000"/>
                <w:sz w:val="24"/>
                <w:szCs w:val="24"/>
              </w:rPr>
              <w:t>hich are embodied in any electronic, magnetic, optical or tangible media, including any of the Authority’s Confidential Information, and which:</w:t>
            </w:r>
          </w:p>
          <w:p w:rsidR="00CB1396" w:rsidRDefault="00B823E2">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are supplied to the Supplier by or on behalf of the Authority; or</w:t>
            </w:r>
          </w:p>
          <w:p w:rsidR="00CB1396" w:rsidRDefault="00B823E2">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the Supplier is required to generate, process,</w:t>
            </w:r>
            <w:r>
              <w:rPr>
                <w:rFonts w:ascii="Arial" w:eastAsia="Arial" w:hAnsi="Arial" w:cs="Arial"/>
                <w:color w:val="000000"/>
                <w:sz w:val="24"/>
                <w:szCs w:val="24"/>
              </w:rPr>
              <w:t xml:space="preserve"> store or transmit pursuant to a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"Guarantor"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person (if any) who has entered into a guarantee in the form set out in Joint Schedule 8 (Guarantee) in relation to this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"Halifax Abuse Principle"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principle explained in the CJEU </w:t>
            </w:r>
            <w:r>
              <w:rPr>
                <w:rFonts w:ascii="Arial" w:eastAsia="Arial" w:hAnsi="Arial" w:cs="Arial"/>
                <w:color w:val="000000"/>
                <w:sz w:val="24"/>
                <w:szCs w:val="24"/>
              </w:rPr>
              <w:t>Case C-255/02 Halifax and others;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"HMRC"</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Her Majesty’s Revenue and Customs;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"ICT Policy"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Buyer's policy in respect of information and communications technology, referred to in the Order Form, which is in force as at the Call-Off Start Date (a copy of</w:t>
            </w:r>
            <w:r>
              <w:rPr>
                <w:rFonts w:ascii="Arial" w:eastAsia="Arial" w:hAnsi="Arial" w:cs="Arial"/>
                <w:color w:val="000000"/>
                <w:sz w:val="24"/>
                <w:szCs w:val="24"/>
              </w:rPr>
              <w:t xml:space="preserve"> which has been supplied to the Supplier), as updated from time to time in accordance with the Variation Procedure;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"Impact Assessment"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 assessment of the impact of a Variation request by the Relevant Authority completed in good faith, including:</w:t>
            </w:r>
          </w:p>
          <w:p w:rsidR="00CB1396" w:rsidRDefault="00B823E2">
            <w:pPr>
              <w:pStyle w:val="Standard"/>
              <w:numPr>
                <w:ilvl w:val="0"/>
                <w:numId w:val="30"/>
              </w:numPr>
              <w:tabs>
                <w:tab w:val="left" w:pos="144"/>
                <w:tab w:val="left" w:pos="864"/>
              </w:tabs>
              <w:jc w:val="both"/>
            </w:pPr>
            <w:r>
              <w:rPr>
                <w:rFonts w:ascii="Arial" w:eastAsia="Arial" w:hAnsi="Arial" w:cs="Arial"/>
                <w:color w:val="000000"/>
                <w:sz w:val="24"/>
                <w:szCs w:val="24"/>
              </w:rPr>
              <w:t>details of the impact of the proposed Variation on the Deliverables and the Supplier's ability to meet its other obligations under the Contract;</w:t>
            </w:r>
          </w:p>
          <w:p w:rsidR="00CB1396" w:rsidRDefault="00B823E2">
            <w:pPr>
              <w:pStyle w:val="Standard"/>
              <w:numPr>
                <w:ilvl w:val="0"/>
                <w:numId w:val="12"/>
              </w:numPr>
              <w:tabs>
                <w:tab w:val="left" w:pos="144"/>
                <w:tab w:val="left" w:pos="864"/>
              </w:tabs>
              <w:jc w:val="both"/>
            </w:pPr>
            <w:r>
              <w:rPr>
                <w:rFonts w:ascii="Arial" w:eastAsia="Arial" w:hAnsi="Arial" w:cs="Arial"/>
                <w:color w:val="000000"/>
                <w:sz w:val="24"/>
                <w:szCs w:val="24"/>
              </w:rPr>
              <w:t>details of the cost of implementing the proposed Variation;</w:t>
            </w:r>
          </w:p>
          <w:p w:rsidR="00CB1396" w:rsidRDefault="00B823E2">
            <w:pPr>
              <w:pStyle w:val="Standard"/>
              <w:numPr>
                <w:ilvl w:val="0"/>
                <w:numId w:val="12"/>
              </w:numPr>
              <w:tabs>
                <w:tab w:val="left" w:pos="144"/>
                <w:tab w:val="left" w:pos="864"/>
              </w:tabs>
              <w:jc w:val="both"/>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 xml:space="preserve">sed Variation when implemented, including any increase or decrease in the Framework Prices/Charges (as applicable), any alteration in the resources and/or expenditure required by either Party and any alteration to the working </w:t>
            </w:r>
            <w:r>
              <w:rPr>
                <w:rFonts w:ascii="Arial" w:eastAsia="Arial" w:hAnsi="Arial" w:cs="Arial"/>
                <w:sz w:val="24"/>
                <w:szCs w:val="24"/>
              </w:rPr>
              <w:t>practises</w:t>
            </w:r>
            <w:r>
              <w:rPr>
                <w:rFonts w:ascii="Arial" w:eastAsia="Arial" w:hAnsi="Arial" w:cs="Arial"/>
                <w:color w:val="000000"/>
                <w:sz w:val="24"/>
                <w:szCs w:val="24"/>
              </w:rPr>
              <w:t xml:space="preserve"> of either Party;</w:t>
            </w:r>
          </w:p>
          <w:p w:rsidR="00CB1396" w:rsidRDefault="00B823E2">
            <w:pPr>
              <w:pStyle w:val="Standard"/>
              <w:numPr>
                <w:ilvl w:val="0"/>
                <w:numId w:val="12"/>
              </w:numPr>
              <w:tabs>
                <w:tab w:val="left" w:pos="144"/>
                <w:tab w:val="left" w:pos="864"/>
              </w:tabs>
              <w:jc w:val="both"/>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CB1396" w:rsidRDefault="00B823E2">
            <w:pPr>
              <w:pStyle w:val="Standard"/>
              <w:numPr>
                <w:ilvl w:val="0"/>
                <w:numId w:val="12"/>
              </w:numPr>
              <w:tabs>
                <w:tab w:val="left" w:pos="144"/>
                <w:tab w:val="left" w:pos="864"/>
              </w:tabs>
              <w:spacing w:after="120" w:line="240" w:lineRule="auto"/>
              <w:jc w:val="both"/>
            </w:pPr>
            <w:r>
              <w:rPr>
                <w:rFonts w:ascii="Arial" w:eastAsia="Arial" w:hAnsi="Arial" w:cs="Arial"/>
                <w:color w:val="000000"/>
                <w:sz w:val="24"/>
                <w:szCs w:val="24"/>
              </w:rPr>
              <w:t>such other information as the Relevant Authority may reasonably request in (or in response to) the Variation request;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"Implementation Plan"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plan for </w:t>
            </w:r>
            <w:r>
              <w:rPr>
                <w:rFonts w:ascii="Arial" w:eastAsia="Arial" w:hAnsi="Arial" w:cs="Arial"/>
                <w:color w:val="000000"/>
                <w:sz w:val="24"/>
                <w:szCs w:val="24"/>
              </w:rPr>
              <w:t>provision of the Deliverables set out in Call-Off Schedule 13 (Implementation Plan and Testing) where that Schedule is used or otherwise as agreed between the Supplier and the Buyer;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"Indemnifier"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Party from whom an indemnity is sought under this Contra</w:t>
            </w:r>
            <w:r>
              <w:rPr>
                <w:rFonts w:ascii="Arial" w:eastAsia="Arial" w:hAnsi="Arial" w:cs="Arial"/>
                <w:color w:val="000000"/>
                <w:sz w:val="24"/>
                <w:szCs w:val="24"/>
              </w:rPr>
              <w:t>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“Independent Control”</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w:t>
            </w:r>
            <w:r>
              <w:rPr>
                <w:rFonts w:ascii="Arial" w:eastAsia="Arial" w:hAnsi="Arial" w:cs="Arial"/>
                <w:color w:val="000000"/>
                <w:sz w:val="24"/>
                <w:szCs w:val="24"/>
              </w:rPr>
              <w:t xml:space="preserve">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"Indexation"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adjustment of an amount or sum in accordance with </w:t>
            </w:r>
            <w:r>
              <w:rPr>
                <w:rFonts w:ascii="Arial" w:eastAsia="Arial" w:hAnsi="Arial" w:cs="Arial"/>
                <w:sz w:val="24"/>
                <w:szCs w:val="24"/>
              </w:rPr>
              <w:t>the Consumer Price Index (CPI)</w:t>
            </w:r>
            <w:r>
              <w:rPr>
                <w:rFonts w:ascii="Arial" w:eastAsia="Arial" w:hAnsi="Arial" w:cs="Arial"/>
                <w:color w:val="000000"/>
                <w:sz w:val="24"/>
                <w:szCs w:val="24"/>
              </w:rPr>
              <w: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"Information"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under section 84 of the F</w:t>
            </w:r>
            <w:r>
              <w:rPr>
                <w:rFonts w:ascii="Arial" w:eastAsia="Arial" w:hAnsi="Arial" w:cs="Arial"/>
                <w:color w:val="000000"/>
                <w:sz w:val="24"/>
                <w:szCs w:val="24"/>
              </w:rPr>
              <w:t>reedom of Information Act 2000;</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"Information Commissioner"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UK’s independent authority which deals with ensuring information relating to rights in the public interest and data privacy for individuals is met, whilst promoting openness by public bodies;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"Initial Period"</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initial term of a Contract specified in the Framework Award Form or the Order Form, as the context requires;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"Insolvency Event"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with respect to any person, means:</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that person suspends, or threatens to suspend, payment of its </w:t>
            </w:r>
            <w:r>
              <w:rPr>
                <w:rFonts w:ascii="Arial" w:eastAsia="Arial" w:hAnsi="Arial" w:cs="Arial"/>
                <w:color w:val="000000"/>
                <w:sz w:val="24"/>
                <w:szCs w:val="24"/>
              </w:rPr>
              <w:t>debts, or is unable to pay its debts as they fall due or admits inability to pay its debts, or:</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 (being a company or a LLP) is deemed unable to pay its debts within the meaning of section 123 of the Insolvency Act 1986, or</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(ii) (being a partnership) is </w:t>
            </w:r>
            <w:r>
              <w:rPr>
                <w:rFonts w:ascii="Arial" w:eastAsia="Arial" w:hAnsi="Arial" w:cs="Arial"/>
                <w:color w:val="000000"/>
                <w:sz w:val="24"/>
                <w:szCs w:val="24"/>
              </w:rPr>
              <w:t>deemed unable to pay its debts within the meaning of section 222 of the Insolvency Act 1986;</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(b) that person commences negotiations with one or more of its creditors (using a voluntary arrangement, scheme of arrangement or otherwise) with a view to resched</w:t>
            </w:r>
            <w:r>
              <w:rPr>
                <w:rFonts w:ascii="Arial" w:eastAsia="Arial" w:hAnsi="Arial" w:cs="Arial"/>
                <w:color w:val="000000"/>
                <w:sz w:val="24"/>
                <w:szCs w:val="24"/>
              </w:rPr>
              <w:t>uling any of its debts, or makes a proposal for or enters into any compromise or arrangement with one or more of its creditors or takes any step to obtain a moratorium pursuant to Section 1A and Schedule A1 of the Insolvency Act 1986 other than (in the cas</w:t>
            </w:r>
            <w:r>
              <w:rPr>
                <w:rFonts w:ascii="Arial" w:eastAsia="Arial" w:hAnsi="Arial" w:cs="Arial"/>
                <w:color w:val="000000"/>
                <w:sz w:val="24"/>
                <w:szCs w:val="24"/>
              </w:rPr>
              <w:t>e of a company, a LLP or a partnership) for the sole purpose of a scheme for a solvent amalgamation of that person with one or more other companies or the solvent reconstruction of that person;</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(c) another person becomes entitled to appoint a receiver over</w:t>
            </w:r>
            <w:r>
              <w:rPr>
                <w:rFonts w:ascii="Arial" w:eastAsia="Arial" w:hAnsi="Arial" w:cs="Arial"/>
                <w:color w:val="000000"/>
                <w:sz w:val="24"/>
                <w:szCs w:val="24"/>
              </w:rPr>
              <w:t xml:space="preserve"> the assets of that person or a receiver is appointed over the assets of that person;</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w:t>
            </w:r>
            <w:r>
              <w:rPr>
                <w:rFonts w:ascii="Arial" w:eastAsia="Arial" w:hAnsi="Arial" w:cs="Arial"/>
                <w:color w:val="000000"/>
                <w:sz w:val="24"/>
                <w:szCs w:val="24"/>
              </w:rPr>
              <w:t>e whole or any part of that person’s assets and such attachment or process is not discharged within 14 days;</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(e) that person suspends or ceases, or threatens to suspend or cease, carrying on all or a substantial part of its business;</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(f) where that person </w:t>
            </w:r>
            <w:r>
              <w:rPr>
                <w:rFonts w:ascii="Arial" w:eastAsia="Arial" w:hAnsi="Arial" w:cs="Arial"/>
                <w:color w:val="000000"/>
                <w:sz w:val="24"/>
                <w:szCs w:val="24"/>
              </w:rPr>
              <w:t>is a company, a LLP or a partnership:</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w:t>
            </w:r>
            <w:r>
              <w:rPr>
                <w:rFonts w:ascii="Arial" w:eastAsia="Arial" w:hAnsi="Arial" w:cs="Arial"/>
                <w:color w:val="000000"/>
                <w:sz w:val="24"/>
                <w:szCs w:val="24"/>
              </w:rPr>
              <w:t xml:space="preserve"> the sole purpose of a scheme for a solvent amalgamation of that person with one or more other companies or the solvent reconstruction of that person;</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(ii) an application is made to court, or an order is made, for the appointment of an administrator, or if</w:t>
            </w:r>
            <w:r>
              <w:rPr>
                <w:rFonts w:ascii="Arial" w:eastAsia="Arial" w:hAnsi="Arial" w:cs="Arial"/>
                <w:color w:val="000000"/>
                <w:sz w:val="24"/>
                <w:szCs w:val="24"/>
              </w:rPr>
              <w:t xml:space="preserve"> a notice of intention to appoint an administrator is filed at Court or given or if an administrator is appointed, over that person;</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(iii) (being a company or a LLP) the holder of a qualifying floating charge over the assets of that person has become entit</w:t>
            </w:r>
            <w:r>
              <w:rPr>
                <w:rFonts w:ascii="Arial" w:eastAsia="Arial" w:hAnsi="Arial" w:cs="Arial"/>
                <w:color w:val="000000"/>
                <w:sz w:val="24"/>
                <w:szCs w:val="24"/>
              </w:rPr>
              <w:t>led to appoint or has appointed an administrative receiver; or</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(g) any even</w:t>
            </w:r>
            <w:r>
              <w:rPr>
                <w:rFonts w:ascii="Arial" w:eastAsia="Arial" w:hAnsi="Arial" w:cs="Arial"/>
                <w:color w:val="000000"/>
                <w:sz w:val="24"/>
                <w:szCs w:val="24"/>
              </w:rPr>
              <w:t>t occurs, or proceeding is taken, with respect to that person in any jurisdiction to which it is subject that has an effect equivalent or similar to any of the events mentioned above;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"Installation Works"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all works which the Supplier is to carry out at th</w:t>
            </w:r>
            <w:r>
              <w:rPr>
                <w:rFonts w:ascii="Arial" w:eastAsia="Arial" w:hAnsi="Arial" w:cs="Arial"/>
                <w:color w:val="000000"/>
                <w:sz w:val="24"/>
                <w:szCs w:val="24"/>
              </w:rPr>
              <w:t>e beginning of the Call-Off Contract Period to install the Goods in accordance with the Call-Off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"Intellectual Property Rights" or "IPR"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numPr>
                <w:ilvl w:val="0"/>
                <w:numId w:val="31"/>
              </w:numPr>
              <w:tabs>
                <w:tab w:val="left" w:pos="144"/>
                <w:tab w:val="left" w:pos="864"/>
              </w:tabs>
              <w:jc w:val="both"/>
            </w:pPr>
            <w:r>
              <w:rPr>
                <w:rFonts w:ascii="Arial" w:eastAsia="Arial" w:hAnsi="Arial" w:cs="Arial"/>
                <w:color w:val="000000"/>
                <w:sz w:val="24"/>
                <w:szCs w:val="24"/>
              </w:rPr>
              <w:t xml:space="preserve">copyright, rights related to or affording protection similar to copyright, rights in databases, patents and </w:t>
            </w:r>
            <w:r>
              <w:rPr>
                <w:rFonts w:ascii="Arial" w:eastAsia="Arial" w:hAnsi="Arial" w:cs="Arial"/>
                <w:color w:val="000000"/>
                <w:sz w:val="24"/>
                <w:szCs w:val="24"/>
              </w:rPr>
              <w:t>rights in inventions, semi-conductor topography rights, trade marks, rights in internet domain names and website addresses and other rights in trade or business names, goodwill, designs, Know-How, trade secrets and other rights in Confidential Information;</w:t>
            </w:r>
          </w:p>
          <w:p w:rsidR="00CB1396" w:rsidRDefault="00B823E2">
            <w:pPr>
              <w:pStyle w:val="Standard"/>
              <w:numPr>
                <w:ilvl w:val="0"/>
                <w:numId w:val="15"/>
              </w:numPr>
              <w:tabs>
                <w:tab w:val="left" w:pos="144"/>
                <w:tab w:val="left" w:pos="864"/>
              </w:tabs>
              <w:jc w:val="both"/>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CB1396" w:rsidRDefault="00B823E2">
            <w:pPr>
              <w:pStyle w:val="Standard"/>
              <w:numPr>
                <w:ilvl w:val="0"/>
                <w:numId w:val="15"/>
              </w:numPr>
              <w:tabs>
                <w:tab w:val="left" w:pos="144"/>
                <w:tab w:val="left" w:pos="864"/>
              </w:tabs>
              <w:spacing w:after="120" w:line="240" w:lineRule="auto"/>
              <w:jc w:val="both"/>
            </w:pPr>
            <w:r>
              <w:rPr>
                <w:rFonts w:ascii="Arial" w:eastAsia="Arial" w:hAnsi="Arial" w:cs="Arial"/>
                <w:color w:val="000000"/>
                <w:sz w:val="24"/>
                <w:szCs w:val="24"/>
              </w:rPr>
              <w:t xml:space="preserve">all other rights having equivalent or similar effect in any country or </w:t>
            </w:r>
            <w:r>
              <w:rPr>
                <w:rFonts w:ascii="Arial" w:eastAsia="Arial" w:hAnsi="Arial" w:cs="Arial"/>
                <w:color w:val="000000"/>
                <w:sz w:val="24"/>
                <w:szCs w:val="24"/>
              </w:rPr>
              <w:t>jurisdiction;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"Invoicing Address"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address to which the Supplier shall invoice the Buyer as specified in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"IPR Claim"</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claim of infringement or alleged infringement (including the defence of such infringement or alleged infringement)</w:t>
            </w:r>
            <w:r>
              <w:rPr>
                <w:rFonts w:ascii="Arial" w:eastAsia="Arial" w:hAnsi="Arial" w:cs="Arial"/>
                <w:color w:val="000000"/>
                <w:sz w:val="24"/>
                <w:szCs w:val="24"/>
              </w:rPr>
              <w:t xml:space="preserve"> of any IPR, used to provide the Deliverables or otherwise provided and/or licensed by the Supplier (or to which the Supplier has provided access) to the Relevant Authority in the fulfilment of its obligations under a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"IR35"</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off-payroll </w:t>
            </w:r>
            <w:r>
              <w:rPr>
                <w:rFonts w:ascii="Arial" w:eastAsia="Arial" w:hAnsi="Arial" w:cs="Arial"/>
                <w:color w:val="000000"/>
                <w:sz w:val="24"/>
                <w:szCs w:val="24"/>
              </w:rPr>
              <w:t xml:space="preserve">rules requiring individuals who work through their company pay the same income tax and National Insurance contributions as an employee which can be found online at: </w:t>
            </w:r>
            <w:hyperlink r:id="rId7" w:history="1">
              <w:r>
                <w:rPr>
                  <w:rFonts w:ascii="Arial" w:eastAsia="Arial" w:hAnsi="Arial" w:cs="Arial"/>
                  <w:color w:val="0000FF"/>
                  <w:sz w:val="24"/>
                  <w:szCs w:val="24"/>
                  <w:u w:val="single"/>
                </w:rPr>
                <w:t>https://www.gov.uk</w:t>
              </w:r>
              <w:r>
                <w:rPr>
                  <w:rFonts w:ascii="Arial" w:eastAsia="Arial" w:hAnsi="Arial" w:cs="Arial"/>
                  <w:color w:val="0000FF"/>
                  <w:sz w:val="24"/>
                  <w:szCs w:val="24"/>
                  <w:u w:val="single"/>
                </w:rPr>
                <w:t>/guidance/ir35-find-out-if-it-applies</w:t>
              </w:r>
            </w:hyperlink>
            <w:r>
              <w:rPr>
                <w:rFonts w:ascii="Arial" w:eastAsia="Arial" w:hAnsi="Arial" w:cs="Arial"/>
                <w:color w:val="000000"/>
                <w:sz w:val="24"/>
                <w:szCs w:val="24"/>
              </w:rPr>
              <w: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“Joint Controller Agreement”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“Joint Controller</w:t>
            </w:r>
            <w:r>
              <w:rPr>
                <w:rFonts w:ascii="Arial" w:eastAsia="Arial" w:hAnsi="Arial" w:cs="Arial"/>
                <w:b/>
                <w:color w:val="000000"/>
                <w:sz w:val="24"/>
                <w:szCs w:val="24"/>
              </w:rPr>
              <w:t>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where two or more Controllers jointly determine the purposes and means of Processing;</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"Key Staff"</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individuals (if any) identified as such in the Order Form;</w:t>
            </w:r>
          </w:p>
        </w:tc>
      </w:tr>
      <w:tr w:rsidR="00CB1396">
        <w:tblPrEx>
          <w:tblCellMar>
            <w:top w:w="0" w:type="dxa"/>
            <w:bottom w:w="0" w:type="dxa"/>
          </w:tblCellMar>
        </w:tblPrEx>
        <w:trPr>
          <w:trHeight w:val="357"/>
        </w:trPr>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"Key Sub-Contract"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each Sub-Contract with a Key Subcontractor;</w:t>
            </w:r>
          </w:p>
        </w:tc>
      </w:tr>
      <w:tr w:rsidR="00CB1396">
        <w:tblPrEx>
          <w:tblCellMar>
            <w:top w:w="0" w:type="dxa"/>
            <w:bottom w:w="0" w:type="dxa"/>
          </w:tblCellMar>
        </w:tblPrEx>
        <w:trPr>
          <w:trHeight w:val="426"/>
        </w:trPr>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"Key Subcontractor"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w:t>
            </w:r>
            <w:r>
              <w:rPr>
                <w:rFonts w:ascii="Arial" w:eastAsia="Arial" w:hAnsi="Arial" w:cs="Arial"/>
                <w:color w:val="000000"/>
                <w:sz w:val="24"/>
                <w:szCs w:val="24"/>
              </w:rPr>
              <w:t>Subcontractor:</w:t>
            </w:r>
          </w:p>
          <w:p w:rsidR="00CB1396" w:rsidRDefault="00B823E2">
            <w:pPr>
              <w:pStyle w:val="Standard"/>
              <w:numPr>
                <w:ilvl w:val="0"/>
                <w:numId w:val="32"/>
              </w:numPr>
              <w:tabs>
                <w:tab w:val="left" w:pos="144"/>
                <w:tab w:val="left" w:pos="864"/>
              </w:tabs>
              <w:jc w:val="both"/>
            </w:pPr>
            <w:r>
              <w:rPr>
                <w:rFonts w:ascii="Arial" w:eastAsia="Arial" w:hAnsi="Arial" w:cs="Arial"/>
                <w:color w:val="000000"/>
                <w:sz w:val="24"/>
                <w:szCs w:val="24"/>
              </w:rPr>
              <w:t>which is relied upon to deliver any work package within the Deliverables in their entirety; and/or</w:t>
            </w:r>
          </w:p>
          <w:p w:rsidR="00CB1396" w:rsidRDefault="00B823E2">
            <w:pPr>
              <w:pStyle w:val="Standard"/>
              <w:numPr>
                <w:ilvl w:val="0"/>
                <w:numId w:val="17"/>
              </w:numPr>
              <w:tabs>
                <w:tab w:val="left" w:pos="144"/>
                <w:tab w:val="left" w:pos="864"/>
              </w:tabs>
              <w:jc w:val="both"/>
            </w:pPr>
            <w:r>
              <w:rPr>
                <w:rFonts w:ascii="Arial" w:eastAsia="Arial" w:hAnsi="Arial" w:cs="Arial"/>
                <w:color w:val="000000"/>
                <w:sz w:val="24"/>
                <w:szCs w:val="24"/>
              </w:rPr>
              <w:t xml:space="preserve">which, in the opinion of CCS or the Buyer performs (or would perform if appointed) a critical role in the provision of all or any part of the </w:t>
            </w:r>
            <w:r>
              <w:rPr>
                <w:rFonts w:ascii="Arial" w:eastAsia="Arial" w:hAnsi="Arial" w:cs="Arial"/>
                <w:color w:val="000000"/>
                <w:sz w:val="24"/>
                <w:szCs w:val="24"/>
              </w:rPr>
              <w:t>Deliverables; and/or</w:t>
            </w:r>
          </w:p>
          <w:p w:rsidR="00CB1396" w:rsidRDefault="00B823E2">
            <w:pPr>
              <w:pStyle w:val="Standard"/>
              <w:numPr>
                <w:ilvl w:val="0"/>
                <w:numId w:val="17"/>
              </w:numPr>
              <w:tabs>
                <w:tab w:val="left" w:pos="144"/>
                <w:tab w:val="left" w:pos="864"/>
              </w:tabs>
              <w:spacing w:after="120" w:line="240" w:lineRule="auto"/>
              <w:jc w:val="both"/>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CB1396" w:rsidRDefault="00B823E2">
            <w:pPr>
              <w:pStyle w:val="Standard"/>
              <w:tabs>
                <w:tab w:val="left" w:pos="-432"/>
                <w:tab w:val="left" w:pos="288"/>
              </w:tabs>
              <w:spacing w:after="120" w:line="240" w:lineRule="auto"/>
              <w:ind w:left="144"/>
              <w:jc w:val="both"/>
            </w:pPr>
            <w:r>
              <w:rPr>
                <w:rFonts w:ascii="Arial" w:eastAsia="Arial" w:hAnsi="Arial" w:cs="Arial"/>
                <w:color w:val="000000"/>
                <w:sz w:val="24"/>
                <w:szCs w:val="24"/>
              </w:rPr>
              <w:t>and the Supplier shall list all such Key</w:t>
            </w:r>
            <w:r>
              <w:rPr>
                <w:rFonts w:ascii="Arial" w:eastAsia="Arial" w:hAnsi="Arial" w:cs="Arial"/>
                <w:color w:val="000000"/>
                <w:sz w:val="24"/>
                <w:szCs w:val="24"/>
              </w:rPr>
              <w:t xml:space="preserve"> Subcontractors in section 19 of the Framework Award Form and in the Key Subcontractor Section in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"Know-How"</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all ideas, concepts, schemes, information, knowledge, techniques, methodology, and anything else in the nature of know-how relating to</w:t>
            </w:r>
            <w:r>
              <w:rPr>
                <w:rFonts w:ascii="Arial" w:eastAsia="Arial" w:hAnsi="Arial" w:cs="Arial"/>
                <w:color w:val="000000"/>
                <w:sz w:val="24"/>
                <w:szCs w:val="24"/>
              </w:rPr>
              <w:t xml:space="preserve"> the Deliverables but excluding know-how already in the other Party’s possession before the applicable Start Date;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"Law"</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sz w:val="24"/>
                <w:szCs w:val="24"/>
              </w:rPr>
              <w:t>any law, subordinate legislation within the meaning of Section 21(1) of the Interpretation Act 1978, bye-law, enforceable right within</w:t>
            </w:r>
            <w:r>
              <w:rPr>
                <w:rFonts w:ascii="Arial" w:eastAsia="Arial" w:hAnsi="Arial" w:cs="Arial"/>
                <w:sz w:val="24"/>
                <w:szCs w:val="24"/>
              </w:rPr>
              <w:t xml:space="preserve"> the meaning of Section 2 of the European Communities Act 1972, regulation, order, regulatory policy, professional rules and ethical requirements, mandatory guidance or code of practice, judgement of a relevant court of law, or directives or requirements w</w:t>
            </w:r>
            <w:r>
              <w:rPr>
                <w:rFonts w:ascii="Arial" w:eastAsia="Arial" w:hAnsi="Arial" w:cs="Arial"/>
                <w:sz w:val="24"/>
                <w:szCs w:val="24"/>
              </w:rPr>
              <w:t>ith which the relevant Party is bound to comply;</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"Losses"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w:t>
            </w:r>
            <w:r>
              <w:rPr>
                <w:rFonts w:ascii="Arial" w:eastAsia="Arial" w:hAnsi="Arial" w:cs="Arial"/>
                <w:color w:val="000000"/>
                <w:sz w:val="24"/>
                <w:szCs w:val="24"/>
              </w:rPr>
              <w:t>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"Lots"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175"/>
              </w:tabs>
              <w:spacing w:after="120" w:line="240" w:lineRule="auto"/>
              <w:jc w:val="both"/>
            </w:pPr>
            <w:r>
              <w:rPr>
                <w:rFonts w:ascii="Arial" w:eastAsia="Arial" w:hAnsi="Arial" w:cs="Arial"/>
                <w:color w:val="000000"/>
                <w:sz w:val="24"/>
                <w:szCs w:val="24"/>
              </w:rPr>
              <w:t>the number of lots specified in Framework Schedule 1 (Specification), if applicable;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"Management Charge"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sum </w:t>
            </w:r>
            <w:r>
              <w:rPr>
                <w:rFonts w:ascii="Arial" w:eastAsia="Arial" w:hAnsi="Arial" w:cs="Arial"/>
                <w:color w:val="000000"/>
                <w:sz w:val="24"/>
                <w:szCs w:val="24"/>
              </w:rPr>
              <w:t>specified in the Framework Award Form payable by the Supplier to CCS in accordance with Framework Schedule 5 (Management Charges and Information);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"Management Information" or “MI”</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management information specified in Framework Schedule 5 (Management </w:t>
            </w:r>
            <w:r>
              <w:rPr>
                <w:rFonts w:ascii="Arial" w:eastAsia="Arial" w:hAnsi="Arial" w:cs="Arial"/>
                <w:color w:val="000000"/>
                <w:sz w:val="24"/>
                <w:szCs w:val="24"/>
              </w:rPr>
              <w:t>Charges and Information);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“MI Default”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175"/>
              </w:tabs>
              <w:spacing w:after="120" w:line="240" w:lineRule="auto"/>
              <w:jc w:val="both"/>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"MI Failure"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175"/>
              </w:tabs>
              <w:spacing w:after="120" w:line="240" w:lineRule="auto"/>
              <w:jc w:val="both"/>
            </w:pPr>
            <w:r>
              <w:rPr>
                <w:rFonts w:ascii="Arial" w:eastAsia="Arial" w:hAnsi="Arial" w:cs="Arial"/>
                <w:color w:val="000000"/>
                <w:sz w:val="24"/>
                <w:szCs w:val="24"/>
              </w:rPr>
              <w:t>means when an MI report:</w:t>
            </w:r>
          </w:p>
          <w:p w:rsidR="00CB1396" w:rsidRDefault="00B823E2">
            <w:pPr>
              <w:pStyle w:val="Standard"/>
              <w:numPr>
                <w:ilvl w:val="0"/>
                <w:numId w:val="33"/>
              </w:numPr>
              <w:tabs>
                <w:tab w:val="left" w:pos="144"/>
                <w:tab w:val="left" w:pos="895"/>
              </w:tabs>
              <w:jc w:val="both"/>
            </w:pPr>
            <w:r>
              <w:rPr>
                <w:rFonts w:ascii="Arial" w:eastAsia="Arial" w:hAnsi="Arial" w:cs="Arial"/>
                <w:color w:val="000000"/>
                <w:sz w:val="24"/>
                <w:szCs w:val="24"/>
              </w:rPr>
              <w:t xml:space="preserve">contains any material errors or material omissions or a missing mandatory field; or  </w:t>
            </w:r>
          </w:p>
          <w:p w:rsidR="00CB1396" w:rsidRDefault="00B823E2">
            <w:pPr>
              <w:pStyle w:val="Standard"/>
              <w:numPr>
                <w:ilvl w:val="0"/>
                <w:numId w:val="22"/>
              </w:numPr>
              <w:tabs>
                <w:tab w:val="left" w:pos="144"/>
                <w:tab w:val="left" w:pos="895"/>
              </w:tabs>
              <w:jc w:val="both"/>
            </w:pPr>
            <w:r>
              <w:rPr>
                <w:rFonts w:ascii="Arial" w:eastAsia="Arial" w:hAnsi="Arial" w:cs="Arial"/>
                <w:color w:val="000000"/>
                <w:sz w:val="24"/>
                <w:szCs w:val="24"/>
              </w:rPr>
              <w:t xml:space="preserve">is </w:t>
            </w:r>
            <w:r>
              <w:rPr>
                <w:rFonts w:ascii="Arial" w:eastAsia="Arial" w:hAnsi="Arial" w:cs="Arial"/>
                <w:color w:val="000000"/>
                <w:sz w:val="24"/>
                <w:szCs w:val="24"/>
              </w:rPr>
              <w:t>submitted using an incorrect MI reporting Template; or</w:t>
            </w:r>
          </w:p>
          <w:p w:rsidR="00CB1396" w:rsidRDefault="00B823E2">
            <w:pPr>
              <w:pStyle w:val="Standard"/>
              <w:numPr>
                <w:ilvl w:val="0"/>
                <w:numId w:val="22"/>
              </w:numPr>
              <w:tabs>
                <w:tab w:val="left" w:pos="144"/>
                <w:tab w:val="left" w:pos="895"/>
              </w:tabs>
              <w:spacing w:after="120" w:line="240" w:lineRule="auto"/>
              <w:jc w:val="both"/>
            </w:pPr>
            <w:r>
              <w:rPr>
                <w:rFonts w:ascii="Arial" w:eastAsia="Arial" w:hAnsi="Arial" w:cs="Arial"/>
                <w:color w:val="000000"/>
                <w:sz w:val="24"/>
                <w:szCs w:val="24"/>
              </w:rPr>
              <w:t>is not submitted by the reporting date (including where a declaration of no business should have been filed);</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"MI Report"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175"/>
              </w:tabs>
              <w:spacing w:after="120" w:line="240" w:lineRule="auto"/>
              <w:jc w:val="both"/>
            </w:pPr>
            <w:r>
              <w:rPr>
                <w:rFonts w:ascii="Arial" w:eastAsia="Arial" w:hAnsi="Arial" w:cs="Arial"/>
                <w:color w:val="000000"/>
                <w:sz w:val="24"/>
                <w:szCs w:val="24"/>
              </w:rPr>
              <w:t>means a report containing Management Information submitted to the Authority in</w:t>
            </w:r>
            <w:r>
              <w:rPr>
                <w:rFonts w:ascii="Arial" w:eastAsia="Arial" w:hAnsi="Arial" w:cs="Arial"/>
                <w:color w:val="000000"/>
                <w:sz w:val="24"/>
                <w:szCs w:val="24"/>
              </w:rPr>
              <w:t xml:space="preserve"> accordance with Framework Schedule 5 (Management Charges and Information);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"MI Reporting Template"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175"/>
              </w:tabs>
              <w:spacing w:after="120" w:line="240" w:lineRule="auto"/>
              <w:jc w:val="both"/>
            </w:pPr>
            <w:r>
              <w:rPr>
                <w:rFonts w:ascii="Arial" w:eastAsia="Arial" w:hAnsi="Arial" w:cs="Arial"/>
                <w:color w:val="000000"/>
                <w:sz w:val="24"/>
                <w:szCs w:val="24"/>
              </w:rPr>
              <w:t xml:space="preserve">means the form of report set out in the Annex to Framework Schedule 5 (Management Charges and Information) setting out the information the Supplier is </w:t>
            </w:r>
            <w:r>
              <w:rPr>
                <w:rFonts w:ascii="Arial" w:eastAsia="Arial" w:hAnsi="Arial" w:cs="Arial"/>
                <w:color w:val="000000"/>
                <w:sz w:val="24"/>
                <w:szCs w:val="24"/>
              </w:rPr>
              <w:t>required to supply to the Authority;</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"Milestone"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 event or task described in the Implementation Plan;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"Milestone Date"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target date set out against the relevant Milestone in the Implementation Plan by which the Milestone must be Achieved;</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"Month"</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w:t>
            </w:r>
            <w:r>
              <w:rPr>
                <w:rFonts w:ascii="Arial" w:eastAsia="Arial" w:hAnsi="Arial" w:cs="Arial"/>
                <w:color w:val="000000"/>
                <w:sz w:val="24"/>
                <w:szCs w:val="24"/>
              </w:rPr>
              <w:t xml:space="preserve">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"National Insurance"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w:t>
            </w:r>
            <w:r>
              <w:rPr>
                <w:rFonts w:ascii="Arial" w:eastAsia="Arial" w:hAnsi="Arial" w:cs="Arial"/>
                <w:color w:val="000000"/>
                <w:sz w:val="24"/>
                <w:szCs w:val="24"/>
              </w:rPr>
              <w:t>01/1004);</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"New IPR"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CB1396" w:rsidRDefault="00B823E2">
            <w:pPr>
              <w:pStyle w:val="Standard"/>
              <w:tabs>
                <w:tab w:val="left" w:pos="-576"/>
                <w:tab w:val="left" w:pos="144"/>
              </w:tabs>
              <w:spacing w:after="120" w:line="240" w:lineRule="auto"/>
              <w:jc w:val="both"/>
            </w:pPr>
            <w:r>
              <w:rPr>
                <w:rFonts w:ascii="Arial" w:eastAsia="Arial" w:hAnsi="Arial" w:cs="Arial"/>
                <w:color w:val="000000"/>
                <w:sz w:val="24"/>
                <w:szCs w:val="24"/>
              </w:rPr>
              <w:t>IPR in or</w:t>
            </w:r>
            <w:r>
              <w:rPr>
                <w:rFonts w:ascii="Arial" w:eastAsia="Arial" w:hAnsi="Arial" w:cs="Arial"/>
                <w:color w:val="000000"/>
                <w:sz w:val="24"/>
                <w:szCs w:val="24"/>
              </w:rPr>
              <w:t xml:space="preserve"> arising as a result of the performance of the Supplier’s obligations under a Contract and all updates and amendments to the same;</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but shall not include the Supplier’s Existing IPR;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"Occasion of Tax Non–Compliance"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where:</w:t>
            </w:r>
          </w:p>
          <w:p w:rsidR="00CB1396" w:rsidRDefault="00B823E2">
            <w:pPr>
              <w:pStyle w:val="Standard"/>
              <w:numPr>
                <w:ilvl w:val="0"/>
                <w:numId w:val="34"/>
              </w:numPr>
              <w:tabs>
                <w:tab w:val="left" w:pos="144"/>
                <w:tab w:val="left" w:pos="864"/>
              </w:tabs>
              <w:spacing w:after="120" w:line="240" w:lineRule="auto"/>
              <w:jc w:val="both"/>
            </w:pPr>
            <w:r>
              <w:rPr>
                <w:rFonts w:ascii="Arial" w:eastAsia="Arial" w:hAnsi="Arial" w:cs="Arial"/>
                <w:color w:val="000000"/>
                <w:sz w:val="24"/>
                <w:szCs w:val="24"/>
              </w:rPr>
              <w:t xml:space="preserve">any </w:t>
            </w:r>
            <w:r>
              <w:rPr>
                <w:rFonts w:ascii="Arial" w:eastAsia="Arial" w:hAnsi="Arial" w:cs="Arial"/>
                <w:sz w:val="24"/>
                <w:szCs w:val="24"/>
              </w:rPr>
              <w:t>T</w:t>
            </w:r>
            <w:r>
              <w:rPr>
                <w:rFonts w:ascii="Arial" w:eastAsia="Arial" w:hAnsi="Arial" w:cs="Arial"/>
                <w:color w:val="000000"/>
                <w:sz w:val="24"/>
                <w:szCs w:val="24"/>
              </w:rPr>
              <w:t xml:space="preserve">ax return of the Supplier </w:t>
            </w:r>
            <w:r>
              <w:rPr>
                <w:rFonts w:ascii="Arial" w:eastAsia="Arial" w:hAnsi="Arial" w:cs="Arial"/>
                <w:color w:val="000000"/>
                <w:sz w:val="24"/>
                <w:szCs w:val="24"/>
              </w:rPr>
              <w:t>submitted to a Relevant Tax Authority on or after 1 October 2012 is found on or after 1 April 2013 to be incorrect as a result of:</w:t>
            </w:r>
          </w:p>
          <w:p w:rsidR="00CB1396" w:rsidRDefault="00B823E2">
            <w:pPr>
              <w:pStyle w:val="Standard"/>
              <w:tabs>
                <w:tab w:val="left" w:pos="132"/>
                <w:tab w:val="left" w:pos="852"/>
              </w:tabs>
              <w:spacing w:after="120" w:line="240" w:lineRule="auto"/>
              <w:ind w:left="708"/>
              <w:jc w:val="both"/>
            </w:pPr>
            <w:r>
              <w:rPr>
                <w:rFonts w:ascii="Arial" w:eastAsia="Arial" w:hAnsi="Arial" w:cs="Arial"/>
                <w:sz w:val="24"/>
                <w:szCs w:val="24"/>
              </w:rPr>
              <w:t xml:space="preserve">i) </w:t>
            </w:r>
            <w:r>
              <w:rPr>
                <w:rFonts w:ascii="Arial" w:eastAsia="Arial" w:hAnsi="Arial" w:cs="Arial"/>
                <w:color w:val="000000"/>
                <w:sz w:val="24"/>
                <w:szCs w:val="24"/>
              </w:rPr>
              <w:t xml:space="preserve">a Relevant Tax Authority successfully challenging the Supplier under the General Anti-Abuse Rule or the Halifax Abuse </w:t>
            </w:r>
            <w:r>
              <w:rPr>
                <w:rFonts w:ascii="Arial" w:eastAsia="Arial" w:hAnsi="Arial" w:cs="Arial"/>
                <w:color w:val="000000"/>
                <w:sz w:val="24"/>
                <w:szCs w:val="24"/>
              </w:rPr>
              <w:t xml:space="preserve">Principle or under any </w:t>
            </w:r>
            <w:r>
              <w:rPr>
                <w:rFonts w:ascii="Arial" w:eastAsia="Arial" w:hAnsi="Arial" w:cs="Arial"/>
                <w:sz w:val="24"/>
                <w:szCs w:val="24"/>
              </w:rPr>
              <w:t>T</w:t>
            </w:r>
            <w:r>
              <w:rPr>
                <w:rFonts w:ascii="Arial" w:eastAsia="Arial" w:hAnsi="Arial" w:cs="Arial"/>
                <w:color w:val="000000"/>
                <w:sz w:val="24"/>
                <w:szCs w:val="24"/>
              </w:rPr>
              <w:t>ax rules or legislation in any jurisdiction that have an effect equivalent or similar to the General Anti-Abuse Rule or the Halifax Abuse Principle;</w:t>
            </w:r>
          </w:p>
          <w:p w:rsidR="00CB1396" w:rsidRDefault="00B823E2">
            <w:pPr>
              <w:pStyle w:val="Standard"/>
              <w:tabs>
                <w:tab w:val="left" w:pos="132"/>
                <w:tab w:val="left" w:pos="852"/>
              </w:tabs>
              <w:spacing w:after="120" w:line="240" w:lineRule="auto"/>
              <w:ind w:left="708"/>
              <w:jc w:val="both"/>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w:t>
            </w:r>
            <w:r>
              <w:rPr>
                <w:rFonts w:ascii="Arial" w:eastAsia="Arial" w:hAnsi="Arial" w:cs="Arial"/>
                <w:color w:val="000000"/>
                <w:sz w:val="24"/>
                <w:szCs w:val="24"/>
              </w:rPr>
              <w:t>h was, or should have been, notified to a Relevant Tax Authority under the DOTAS or any equivalent or similar regime in any jurisdiction; and/or</w:t>
            </w:r>
          </w:p>
          <w:p w:rsidR="00CB1396" w:rsidRDefault="00B823E2">
            <w:pPr>
              <w:pStyle w:val="Standard"/>
              <w:numPr>
                <w:ilvl w:val="0"/>
                <w:numId w:val="23"/>
              </w:numPr>
              <w:tabs>
                <w:tab w:val="left" w:pos="144"/>
                <w:tab w:val="left" w:pos="864"/>
              </w:tabs>
              <w:spacing w:after="120" w:line="240" w:lineRule="auto"/>
              <w:jc w:val="both"/>
            </w:pPr>
            <w:r>
              <w:rPr>
                <w:rFonts w:ascii="Arial" w:eastAsia="Arial" w:hAnsi="Arial" w:cs="Arial"/>
                <w:color w:val="000000"/>
                <w:sz w:val="24"/>
                <w:szCs w:val="24"/>
              </w:rPr>
              <w:t xml:space="preserve">any </w:t>
            </w:r>
            <w:r>
              <w:rPr>
                <w:rFonts w:ascii="Arial" w:eastAsia="Arial" w:hAnsi="Arial" w:cs="Arial"/>
                <w:sz w:val="24"/>
                <w:szCs w:val="24"/>
              </w:rPr>
              <w:t>T</w:t>
            </w:r>
            <w:r>
              <w:rPr>
                <w:rFonts w:ascii="Arial" w:eastAsia="Arial" w:hAnsi="Arial" w:cs="Arial"/>
                <w:color w:val="000000"/>
                <w:sz w:val="24"/>
                <w:szCs w:val="24"/>
              </w:rPr>
              <w:t>ax return of the Supplier submitted to a Relevant Tax Authority on or after 1 October 2012 which gives ris</w:t>
            </w:r>
            <w:r>
              <w:rPr>
                <w:rFonts w:ascii="Arial" w:eastAsia="Arial" w:hAnsi="Arial" w:cs="Arial"/>
                <w:color w:val="000000"/>
                <w:sz w:val="24"/>
                <w:szCs w:val="24"/>
              </w:rPr>
              <w:t xml:space="preserve">e, on or after 1 April 2013, to a criminal conviction in any jurisdiction for </w:t>
            </w:r>
            <w:r>
              <w:rPr>
                <w:rFonts w:ascii="Arial" w:eastAsia="Arial" w:hAnsi="Arial" w:cs="Arial"/>
                <w:sz w:val="24"/>
                <w:szCs w:val="24"/>
              </w:rPr>
              <w:t>T</w:t>
            </w:r>
            <w:r>
              <w:rPr>
                <w:rFonts w:ascii="Arial" w:eastAsia="Arial" w:hAnsi="Arial" w:cs="Arial"/>
                <w:color w:val="000000"/>
                <w:sz w:val="24"/>
                <w:szCs w:val="24"/>
              </w:rPr>
              <w:t>ax related offences which is not spent at the Start Date or to a civil penalty for fraud or evasion;</w:t>
            </w:r>
          </w:p>
        </w:tc>
      </w:tr>
      <w:tr w:rsidR="00CB1396">
        <w:tblPrEx>
          <w:tblCellMar>
            <w:top w:w="0" w:type="dxa"/>
            <w:bottom w:w="0" w:type="dxa"/>
          </w:tblCellMar>
        </w:tblPrEx>
        <w:trPr>
          <w:trHeight w:val="5726"/>
        </w:trPr>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"Open Book Data "</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complete and accurate financial and non-financial informa</w:t>
            </w:r>
            <w:r>
              <w:rPr>
                <w:rFonts w:ascii="Arial" w:eastAsia="Arial" w:hAnsi="Arial" w:cs="Arial"/>
                <w:color w:val="000000"/>
                <w:sz w:val="24"/>
                <w:szCs w:val="24"/>
              </w:rPr>
              <w:t>tion which is sufficient to enable the Buyer to verify the Charges already paid or payable and Charges forecast to be paid during the remainder of the Call-Off Contract, including details and all assumptions relating to:</w:t>
            </w:r>
          </w:p>
          <w:p w:rsidR="00CB1396" w:rsidRDefault="00B823E2">
            <w:pPr>
              <w:pStyle w:val="Standard"/>
              <w:numPr>
                <w:ilvl w:val="0"/>
                <w:numId w:val="35"/>
              </w:numPr>
              <w:tabs>
                <w:tab w:val="left" w:pos="144"/>
                <w:tab w:val="left" w:pos="864"/>
              </w:tabs>
              <w:jc w:val="both"/>
            </w:pPr>
            <w:r>
              <w:rPr>
                <w:rFonts w:ascii="Arial" w:eastAsia="Arial" w:hAnsi="Arial" w:cs="Arial"/>
                <w:color w:val="000000"/>
                <w:sz w:val="24"/>
                <w:szCs w:val="24"/>
              </w:rPr>
              <w:t xml:space="preserve">the Supplier’s Costs broken down </w:t>
            </w:r>
            <w:r>
              <w:rPr>
                <w:rFonts w:ascii="Arial" w:eastAsia="Arial" w:hAnsi="Arial" w:cs="Arial"/>
                <w:color w:val="000000"/>
                <w:sz w:val="24"/>
                <w:szCs w:val="24"/>
              </w:rPr>
              <w:t>against each Good and/or Service and/or Deliverable, including actual capital expenditure (including capital replacement costs) and the unit cost and total actual costs of all Deliverables;</w:t>
            </w:r>
          </w:p>
          <w:p w:rsidR="00CB1396" w:rsidRDefault="00B823E2">
            <w:pPr>
              <w:pStyle w:val="Standard"/>
              <w:numPr>
                <w:ilvl w:val="0"/>
                <w:numId w:val="24"/>
              </w:numPr>
              <w:tabs>
                <w:tab w:val="left" w:pos="144"/>
                <w:tab w:val="left" w:pos="864"/>
              </w:tabs>
              <w:jc w:val="both"/>
            </w:pPr>
            <w:r>
              <w:rPr>
                <w:rFonts w:ascii="Arial" w:eastAsia="Arial" w:hAnsi="Arial" w:cs="Arial"/>
                <w:color w:val="000000"/>
                <w:sz w:val="24"/>
                <w:szCs w:val="24"/>
              </w:rPr>
              <w:t>operating expenditure relating to the provision of the Deliverable</w:t>
            </w:r>
            <w:r>
              <w:rPr>
                <w:rFonts w:ascii="Arial" w:eastAsia="Arial" w:hAnsi="Arial" w:cs="Arial"/>
                <w:color w:val="000000"/>
                <w:sz w:val="24"/>
                <w:szCs w:val="24"/>
              </w:rPr>
              <w:t>s including an analysis showing:</w:t>
            </w:r>
          </w:p>
          <w:p w:rsidR="00CB1396" w:rsidRDefault="00B823E2">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the unit costs and quantity of Goods and any other consumables and bought-in Deliverables;</w:t>
            </w:r>
          </w:p>
          <w:p w:rsidR="00CB1396" w:rsidRDefault="00B823E2">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staff costs broken down into the number and grade/role of all Supplier Staff (free of any contingency) together with a list of agree</w:t>
            </w:r>
            <w:r>
              <w:rPr>
                <w:rFonts w:ascii="Arial" w:eastAsia="Arial" w:hAnsi="Arial" w:cs="Arial"/>
                <w:color w:val="000000"/>
                <w:sz w:val="24"/>
                <w:szCs w:val="24"/>
              </w:rPr>
              <w:t>d rates against each grade;</w:t>
            </w:r>
          </w:p>
          <w:p w:rsidR="00CB1396" w:rsidRDefault="00B823E2">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a list of Costs underpinning those rates for each grade, being the agreed rate less the Supplier Profit Margin; and</w:t>
            </w:r>
          </w:p>
          <w:p w:rsidR="00CB1396" w:rsidRDefault="00B823E2">
            <w:pPr>
              <w:pStyle w:val="Standard"/>
              <w:numPr>
                <w:ilvl w:val="2"/>
                <w:numId w:val="19"/>
              </w:numPr>
              <w:tabs>
                <w:tab w:val="left" w:pos="216"/>
                <w:tab w:val="left" w:pos="936"/>
              </w:tabs>
              <w:spacing w:after="120" w:line="240" w:lineRule="auto"/>
              <w:ind w:left="792"/>
              <w:jc w:val="both"/>
            </w:pPr>
            <w:r>
              <w:rPr>
                <w:rFonts w:ascii="Arial" w:eastAsia="Arial" w:hAnsi="Arial" w:cs="Arial"/>
                <w:color w:val="000000"/>
                <w:sz w:val="24"/>
                <w:szCs w:val="24"/>
              </w:rPr>
              <w:t>Reimbursable Expenses, if allowed under the Order Form;</w:t>
            </w:r>
          </w:p>
          <w:p w:rsidR="00CB1396" w:rsidRDefault="00B823E2">
            <w:pPr>
              <w:pStyle w:val="Standard"/>
              <w:numPr>
                <w:ilvl w:val="0"/>
                <w:numId w:val="24"/>
              </w:numPr>
              <w:tabs>
                <w:tab w:val="left" w:pos="144"/>
                <w:tab w:val="left" w:pos="864"/>
              </w:tabs>
              <w:jc w:val="both"/>
            </w:pPr>
            <w:r>
              <w:rPr>
                <w:rFonts w:ascii="Arial" w:eastAsia="Arial" w:hAnsi="Arial" w:cs="Arial"/>
                <w:sz w:val="24"/>
                <w:szCs w:val="24"/>
              </w:rPr>
              <w:t>Overheads;</w:t>
            </w:r>
          </w:p>
          <w:p w:rsidR="00CB1396" w:rsidRDefault="00B823E2">
            <w:pPr>
              <w:pStyle w:val="Standard"/>
              <w:numPr>
                <w:ilvl w:val="0"/>
                <w:numId w:val="24"/>
              </w:numPr>
              <w:tabs>
                <w:tab w:val="left" w:pos="144"/>
                <w:tab w:val="left" w:pos="864"/>
              </w:tabs>
              <w:jc w:val="both"/>
            </w:pPr>
            <w:r>
              <w:rPr>
                <w:rFonts w:ascii="Arial" w:eastAsia="Arial" w:hAnsi="Arial" w:cs="Arial"/>
                <w:color w:val="000000"/>
                <w:sz w:val="24"/>
                <w:szCs w:val="24"/>
              </w:rPr>
              <w:t xml:space="preserve">all interest, expenses and any other third </w:t>
            </w:r>
            <w:r>
              <w:rPr>
                <w:rFonts w:ascii="Arial" w:eastAsia="Arial" w:hAnsi="Arial" w:cs="Arial"/>
                <w:color w:val="000000"/>
                <w:sz w:val="24"/>
                <w:szCs w:val="24"/>
              </w:rPr>
              <w:t>party financing costs incurred in relation to the provision of the Deliverables;</w:t>
            </w:r>
          </w:p>
          <w:p w:rsidR="00CB1396" w:rsidRDefault="00B823E2">
            <w:pPr>
              <w:pStyle w:val="Standard"/>
              <w:numPr>
                <w:ilvl w:val="0"/>
                <w:numId w:val="24"/>
              </w:numPr>
              <w:tabs>
                <w:tab w:val="left" w:pos="144"/>
                <w:tab w:val="left" w:pos="864"/>
              </w:tabs>
              <w:jc w:val="both"/>
            </w:pPr>
            <w:r>
              <w:rPr>
                <w:rFonts w:ascii="Arial" w:eastAsia="Arial" w:hAnsi="Arial" w:cs="Arial"/>
                <w:sz w:val="24"/>
                <w:szCs w:val="24"/>
              </w:rPr>
              <w:t>the Supplier Profit achieved over the Framework Contract Period and on an annual basis;</w:t>
            </w:r>
          </w:p>
          <w:p w:rsidR="00CB1396" w:rsidRDefault="00B823E2">
            <w:pPr>
              <w:pStyle w:val="Standard"/>
              <w:numPr>
                <w:ilvl w:val="0"/>
                <w:numId w:val="24"/>
              </w:numPr>
              <w:tabs>
                <w:tab w:val="left" w:pos="144"/>
                <w:tab w:val="left" w:pos="864"/>
              </w:tabs>
              <w:jc w:val="both"/>
            </w:pPr>
            <w:r>
              <w:rPr>
                <w:rFonts w:ascii="Arial" w:eastAsia="Arial" w:hAnsi="Arial" w:cs="Arial"/>
                <w:sz w:val="24"/>
                <w:szCs w:val="24"/>
              </w:rPr>
              <w:t>confirmation that all methods of Cost apportionment and Overhead allocation are consist</w:t>
            </w:r>
            <w:r>
              <w:rPr>
                <w:rFonts w:ascii="Arial" w:eastAsia="Arial" w:hAnsi="Arial" w:cs="Arial"/>
                <w:sz w:val="24"/>
                <w:szCs w:val="24"/>
              </w:rPr>
              <w:t>ent with and not more onerous than such methods applied generally by the Supplier;</w:t>
            </w:r>
          </w:p>
          <w:p w:rsidR="00CB1396" w:rsidRDefault="00B823E2">
            <w:pPr>
              <w:pStyle w:val="Standard"/>
              <w:numPr>
                <w:ilvl w:val="0"/>
                <w:numId w:val="24"/>
              </w:numPr>
              <w:tabs>
                <w:tab w:val="left" w:pos="144"/>
                <w:tab w:val="left" w:pos="864"/>
              </w:tabs>
              <w:jc w:val="both"/>
            </w:pPr>
            <w:r>
              <w:rPr>
                <w:rFonts w:ascii="Arial" w:eastAsia="Arial" w:hAnsi="Arial" w:cs="Arial"/>
                <w:sz w:val="24"/>
                <w:szCs w:val="24"/>
              </w:rPr>
              <w:t>an explanation of the type and value of risk and contingencies associated with the provision of the Deliverables, including the amount of money attributed to each risk and/o</w:t>
            </w:r>
            <w:r>
              <w:rPr>
                <w:rFonts w:ascii="Arial" w:eastAsia="Arial" w:hAnsi="Arial" w:cs="Arial"/>
                <w:sz w:val="24"/>
                <w:szCs w:val="24"/>
              </w:rPr>
              <w:t>r contingency; and</w:t>
            </w:r>
          </w:p>
          <w:p w:rsidR="00CB1396" w:rsidRDefault="00B823E2">
            <w:pPr>
              <w:pStyle w:val="Standard"/>
              <w:numPr>
                <w:ilvl w:val="0"/>
                <w:numId w:val="24"/>
              </w:numPr>
              <w:tabs>
                <w:tab w:val="left" w:pos="144"/>
                <w:tab w:val="left" w:pos="864"/>
              </w:tabs>
              <w:spacing w:after="120" w:line="240" w:lineRule="auto"/>
              <w:jc w:val="both"/>
            </w:pPr>
            <w:r>
              <w:rPr>
                <w:rFonts w:ascii="Arial" w:eastAsia="Arial" w:hAnsi="Arial" w:cs="Arial"/>
                <w:sz w:val="24"/>
                <w:szCs w:val="24"/>
              </w:rPr>
              <w:t>the actual Costs profile for each Service Period;</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"Order"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means an order for the provision of the Deliverables placed by a Buyer with the Supplier under a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"Order Form"</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completed Order Form Template (or equivalent </w:t>
            </w:r>
            <w:r>
              <w:rPr>
                <w:rFonts w:ascii="Arial" w:eastAsia="Arial" w:hAnsi="Arial" w:cs="Arial"/>
                <w:color w:val="000000"/>
                <w:sz w:val="24"/>
                <w:szCs w:val="24"/>
              </w:rPr>
              <w:t>information issued by the Buyer) used to create a Call-Off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"Order Form Template"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template in Framework Schedule 6 (Order Form Template and Call-Off Schedules);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"Other Contracting Authority"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actual or potential Buyer under the Framework </w:t>
            </w:r>
            <w:r>
              <w:rPr>
                <w:rFonts w:ascii="Arial" w:eastAsia="Arial" w:hAnsi="Arial" w:cs="Arial"/>
                <w:color w:val="000000"/>
                <w:sz w:val="24"/>
                <w:szCs w:val="24"/>
              </w:rPr>
              <w:t>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"Overhead"</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w:t>
            </w:r>
            <w:r>
              <w:rPr>
                <w:rFonts w:ascii="Arial" w:eastAsia="Arial" w:hAnsi="Arial" w:cs="Arial"/>
                <w:color w:val="000000"/>
                <w:sz w:val="24"/>
                <w:szCs w:val="24"/>
              </w:rPr>
              <w:t>nce costs and any fines or penalties) but excluding allowable indirect costs apportioned to facilities and administration in the provision of Supplier Staff and accordingly included within limb (a) of the definition of "Costs";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"Parliament"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takes its natu</w:t>
            </w:r>
            <w:r>
              <w:rPr>
                <w:rFonts w:ascii="Arial" w:eastAsia="Arial" w:hAnsi="Arial" w:cs="Arial"/>
                <w:color w:val="000000"/>
                <w:sz w:val="24"/>
                <w:szCs w:val="24"/>
              </w:rPr>
              <w:t>ral meaning as interpreted by Law;</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"Party"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in the context of the Framework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"Performance Indicators" or "PIs"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performance measurements and targets in respect of the Supplier’s performance of the Framework Co</w:t>
            </w:r>
            <w:r>
              <w:rPr>
                <w:rFonts w:ascii="Arial" w:eastAsia="Arial" w:hAnsi="Arial" w:cs="Arial"/>
                <w:color w:val="000000"/>
                <w:sz w:val="24"/>
                <w:szCs w:val="24"/>
              </w:rPr>
              <w:t>ntract set out in Framework Schedule 4 (Framework Management);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"Personal Data"</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UK GDPR;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“Personal Data Breach”</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UK GDPR;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“Personnel”</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all directors, officers, employees, agents, consult</w:t>
            </w:r>
            <w:r>
              <w:rPr>
                <w:rFonts w:ascii="Arial" w:eastAsia="Arial" w:hAnsi="Arial" w:cs="Arial"/>
                <w:color w:val="000000"/>
                <w:sz w:val="24"/>
                <w:szCs w:val="24"/>
              </w:rPr>
              <w:t>ants and suppliers of a Party and/or of any Subcontractor and/or Subprocessor engaged in the performance of its obligations under a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"Prescribed Person"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legal adviser, an MP or an appropriate body which a whistle-blower may make a disclosure to</w:t>
            </w:r>
            <w:r>
              <w:rPr>
                <w:rFonts w:ascii="Arial" w:eastAsia="Arial" w:hAnsi="Arial" w:cs="Arial"/>
                <w:color w:val="000000"/>
                <w:sz w:val="24"/>
                <w:szCs w:val="24"/>
              </w:rPr>
              <w:t xml:space="preserve"> as detailed in ‘Whistleblowing: list of prescribed people and bodies’, 24 November 2016, available online at: </w:t>
            </w:r>
            <w:hyperlink r:id="rId8" w:history="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sz w:val="24"/>
                <w:szCs w:val="24"/>
              </w:rPr>
              <w: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“Processing”</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UK GDPR;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“Processor”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UK GDPR;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"Progress Meeting"</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meeting between the Buyer Authorised Representative and the Supplier Authorised Representative;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"Progress Meeting Frequency"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frequency at which the Supplier shall conduct a Progress Me</w:t>
            </w:r>
            <w:r>
              <w:rPr>
                <w:rFonts w:ascii="Arial" w:eastAsia="Arial" w:hAnsi="Arial" w:cs="Arial"/>
                <w:color w:val="000000"/>
                <w:sz w:val="24"/>
                <w:szCs w:val="24"/>
              </w:rPr>
              <w:t>eting in accordance with Clause 6.1 as specified in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“Progress Report”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report provided by the Supplier indicating the steps taken to achieve Milestones or delivery dates;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“Progress Report Frequency”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frequency at which the Supplier </w:t>
            </w:r>
            <w:r>
              <w:rPr>
                <w:rFonts w:ascii="Arial" w:eastAsia="Arial" w:hAnsi="Arial" w:cs="Arial"/>
                <w:color w:val="000000"/>
                <w:sz w:val="24"/>
                <w:szCs w:val="24"/>
              </w:rPr>
              <w:t>shall deliver Progress Reports in accordance with Clause 6.1 as specified in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“Prohibited Acts”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numPr>
                <w:ilvl w:val="0"/>
                <w:numId w:val="36"/>
              </w:numPr>
              <w:tabs>
                <w:tab w:val="left" w:pos="144"/>
                <w:tab w:val="left" w:pos="864"/>
              </w:tabs>
              <w:jc w:val="both"/>
            </w:pPr>
            <w:r>
              <w:rPr>
                <w:rFonts w:ascii="Arial" w:eastAsia="Arial" w:hAnsi="Arial" w:cs="Arial"/>
                <w:color w:val="000000"/>
                <w:sz w:val="24"/>
                <w:szCs w:val="24"/>
              </w:rPr>
              <w:t>to directly or indirectly offer, promise or give any person working for or engaged by a Buyer or any other public body a financial or other adva</w:t>
            </w:r>
            <w:r>
              <w:rPr>
                <w:rFonts w:ascii="Arial" w:eastAsia="Arial" w:hAnsi="Arial" w:cs="Arial"/>
                <w:color w:val="000000"/>
                <w:sz w:val="24"/>
                <w:szCs w:val="24"/>
              </w:rPr>
              <w:t>ntage to:</w:t>
            </w:r>
          </w:p>
          <w:p w:rsidR="00CB1396" w:rsidRDefault="00B823E2">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induce that person to perform improperly a relevant function or activity; or</w:t>
            </w:r>
          </w:p>
          <w:p w:rsidR="00CB1396" w:rsidRDefault="00B823E2">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relevant function or activity;</w:t>
            </w:r>
          </w:p>
          <w:p w:rsidR="00CB1396" w:rsidRDefault="00B823E2">
            <w:pPr>
              <w:pStyle w:val="Standard"/>
              <w:tabs>
                <w:tab w:val="left" w:pos="-576"/>
                <w:tab w:val="left" w:pos="144"/>
              </w:tabs>
              <w:spacing w:after="120" w:line="240" w:lineRule="auto"/>
              <w:jc w:val="both"/>
            </w:pPr>
            <w:r>
              <w:rPr>
                <w:rFonts w:ascii="Arial" w:eastAsia="Arial" w:hAnsi="Arial" w:cs="Arial"/>
                <w:sz w:val="24"/>
                <w:szCs w:val="24"/>
              </w:rPr>
              <w:t xml:space="preserve">b) to directly or indirectly request, agree to receive or accept any financial or other </w:t>
            </w:r>
            <w:r>
              <w:rPr>
                <w:rFonts w:ascii="Arial" w:eastAsia="Arial" w:hAnsi="Arial" w:cs="Arial"/>
                <w:sz w:val="24"/>
                <w:szCs w:val="24"/>
              </w:rPr>
              <w:t>advantage as an inducement or a reward for improper performance of a relevant function or activity in connection with each Contract; or</w:t>
            </w:r>
          </w:p>
          <w:p w:rsidR="00CB1396" w:rsidRDefault="00B823E2">
            <w:pPr>
              <w:pStyle w:val="Standard"/>
              <w:tabs>
                <w:tab w:val="left" w:pos="-576"/>
                <w:tab w:val="left" w:pos="144"/>
              </w:tabs>
              <w:spacing w:after="120" w:line="240" w:lineRule="auto"/>
              <w:jc w:val="both"/>
            </w:pPr>
            <w:r>
              <w:rPr>
                <w:rFonts w:ascii="Arial" w:eastAsia="Arial" w:hAnsi="Arial" w:cs="Arial"/>
                <w:sz w:val="24"/>
                <w:szCs w:val="24"/>
              </w:rPr>
              <w:t>c) committing any offence:</w:t>
            </w:r>
            <w:r>
              <w:rPr>
                <w:rFonts w:ascii="Arial" w:eastAsia="Arial" w:hAnsi="Arial" w:cs="Arial"/>
                <w:sz w:val="24"/>
                <w:szCs w:val="24"/>
              </w:rPr>
              <w:tab/>
            </w:r>
          </w:p>
          <w:p w:rsidR="00CB1396" w:rsidRDefault="00B823E2">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under the Bribery Act 2010 (or any legislation repealed or revoked by such Act); or</w:t>
            </w:r>
          </w:p>
          <w:p w:rsidR="00CB1396" w:rsidRDefault="00B823E2">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under le</w:t>
            </w:r>
            <w:r>
              <w:rPr>
                <w:rFonts w:ascii="Arial" w:eastAsia="Arial" w:hAnsi="Arial" w:cs="Arial"/>
                <w:color w:val="000000"/>
                <w:sz w:val="24"/>
                <w:szCs w:val="24"/>
              </w:rPr>
              <w:t>gislation or common law concerning fraudulent acts; or</w:t>
            </w:r>
          </w:p>
          <w:p w:rsidR="00CB1396" w:rsidRDefault="00B823E2">
            <w:pPr>
              <w:pStyle w:val="Standard"/>
              <w:numPr>
                <w:ilvl w:val="2"/>
                <w:numId w:val="19"/>
              </w:numPr>
              <w:tabs>
                <w:tab w:val="left" w:pos="613"/>
                <w:tab w:val="left" w:pos="783"/>
              </w:tabs>
              <w:spacing w:after="120" w:line="240" w:lineRule="auto"/>
              <w:ind w:left="792"/>
              <w:jc w:val="both"/>
            </w:pPr>
            <w:r>
              <w:rPr>
                <w:rFonts w:ascii="Arial" w:eastAsia="Arial" w:hAnsi="Arial" w:cs="Arial"/>
                <w:color w:val="000000"/>
                <w:sz w:val="24"/>
                <w:szCs w:val="24"/>
              </w:rPr>
              <w:t>defrauding, attempting to defraud or conspiring to defraud a Buyer or other public body; or</w:t>
            </w:r>
          </w:p>
          <w:p w:rsidR="00CB1396" w:rsidRDefault="00B823E2">
            <w:pPr>
              <w:pStyle w:val="Standard"/>
              <w:tabs>
                <w:tab w:val="left" w:pos="-576"/>
                <w:tab w:val="left" w:pos="144"/>
              </w:tabs>
              <w:spacing w:after="120" w:line="240" w:lineRule="auto"/>
              <w:jc w:val="both"/>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w:t>
            </w:r>
            <w:r>
              <w:rPr>
                <w:rFonts w:ascii="Arial" w:eastAsia="Arial" w:hAnsi="Arial" w:cs="Arial"/>
                <w:color w:val="000000"/>
                <w:sz w:val="24"/>
                <w:szCs w:val="24"/>
              </w:rPr>
              <w:t>ch activity, practice or conduct had been carried out in the UK;</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“Protective Measures”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appropriate technical and organisational measures which may include: </w:t>
            </w:r>
            <w:r>
              <w:rPr>
                <w:rFonts w:ascii="Arial" w:eastAsia="Arial" w:hAnsi="Arial" w:cs="Arial"/>
                <w:sz w:val="24"/>
                <w:szCs w:val="24"/>
              </w:rPr>
              <w:t>pseudonymisation</w:t>
            </w:r>
            <w:r>
              <w:rPr>
                <w:rFonts w:ascii="Arial" w:eastAsia="Arial" w:hAnsi="Arial" w:cs="Arial"/>
                <w:color w:val="000000"/>
                <w:sz w:val="24"/>
                <w:szCs w:val="24"/>
              </w:rPr>
              <w:t xml:space="preserve"> and encrypting Personal Data, ensuring confidentiality, integrity, availability an</w:t>
            </w:r>
            <w:r>
              <w:rPr>
                <w:rFonts w:ascii="Arial" w:eastAsia="Arial" w:hAnsi="Arial" w:cs="Arial"/>
                <w:color w:val="000000"/>
                <w:sz w:val="24"/>
                <w:szCs w:val="24"/>
              </w:rPr>
              <w:t>d resilience of systems and services, ensuring that availability of and access to Personal Data can be restored in a timely manner after an incident, and regularly assessing and evaluating the effectiveness of the such measures adopted by it including thos</w:t>
            </w:r>
            <w:r>
              <w:rPr>
                <w:rFonts w:ascii="Arial" w:eastAsia="Arial" w:hAnsi="Arial" w:cs="Arial"/>
                <w:color w:val="000000"/>
                <w:sz w:val="24"/>
                <w:szCs w:val="24"/>
              </w:rPr>
              <w:t>e outlined in Framework Schedule 9 (Cyber Essentials Scheme), if applicable, in the case of the Framework Contract or Call-Off Schedule 9 (Security), if applicable, in the case of a Call-Off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“Recall”</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request by the Supplier to return Goods to </w:t>
            </w:r>
            <w:r>
              <w:rPr>
                <w:rFonts w:ascii="Arial" w:eastAsia="Arial" w:hAnsi="Arial" w:cs="Arial"/>
                <w:color w:val="000000"/>
                <w:sz w:val="24"/>
                <w:szCs w:val="24"/>
              </w:rPr>
              <w:t>the Supplier or the manufacturer after the discovery of safety issues or defects (including defects in the right IPR rights) that might endanger health or hinder performance;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"Recipient Party"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Party which receives or obtains directly or indirectly Con</w:t>
            </w:r>
            <w:r>
              <w:rPr>
                <w:rFonts w:ascii="Arial" w:eastAsia="Arial" w:hAnsi="Arial" w:cs="Arial"/>
                <w:color w:val="000000"/>
                <w:sz w:val="24"/>
                <w:szCs w:val="24"/>
              </w:rPr>
              <w:t>fidential Information;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"Rectification Plan"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numPr>
                <w:ilvl w:val="0"/>
                <w:numId w:val="37"/>
              </w:numPr>
              <w:tabs>
                <w:tab w:val="left" w:pos="541"/>
                <w:tab w:val="left" w:pos="711"/>
              </w:tabs>
              <w:jc w:val="both"/>
            </w:pPr>
            <w:r>
              <w:rPr>
                <w:rFonts w:ascii="Arial" w:eastAsia="Arial" w:hAnsi="Arial" w:cs="Arial"/>
                <w:color w:val="000000"/>
                <w:sz w:val="24"/>
                <w:szCs w:val="24"/>
              </w:rPr>
              <w:t>the Supplier’s plan (or revised plan) to rectify it’s breach using the template in Joint Schedule 10 (Rectification Plan) which shall include:</w:t>
            </w:r>
          </w:p>
          <w:p w:rsidR="00CB1396" w:rsidRDefault="00B823E2">
            <w:pPr>
              <w:pStyle w:val="Standard"/>
              <w:numPr>
                <w:ilvl w:val="0"/>
                <w:numId w:val="9"/>
              </w:numPr>
              <w:tabs>
                <w:tab w:val="left" w:pos="541"/>
                <w:tab w:val="left" w:pos="711"/>
              </w:tabs>
              <w:jc w:val="both"/>
            </w:pPr>
            <w:r>
              <w:rPr>
                <w:rFonts w:ascii="Arial" w:eastAsia="Arial" w:hAnsi="Arial" w:cs="Arial"/>
                <w:color w:val="000000"/>
                <w:sz w:val="24"/>
                <w:szCs w:val="24"/>
              </w:rPr>
              <w:t>full details of the Default that has occurred, including a root caus</w:t>
            </w:r>
            <w:r>
              <w:rPr>
                <w:rFonts w:ascii="Arial" w:eastAsia="Arial" w:hAnsi="Arial" w:cs="Arial"/>
                <w:color w:val="000000"/>
                <w:sz w:val="24"/>
                <w:szCs w:val="24"/>
              </w:rPr>
              <w:t>e analysis;</w:t>
            </w:r>
          </w:p>
          <w:p w:rsidR="00CB1396" w:rsidRDefault="00B823E2">
            <w:pPr>
              <w:pStyle w:val="Standard"/>
              <w:numPr>
                <w:ilvl w:val="0"/>
                <w:numId w:val="9"/>
              </w:numPr>
              <w:tabs>
                <w:tab w:val="left" w:pos="541"/>
                <w:tab w:val="left" w:pos="711"/>
              </w:tabs>
              <w:jc w:val="both"/>
            </w:pPr>
            <w:r>
              <w:rPr>
                <w:rFonts w:ascii="Arial" w:eastAsia="Arial" w:hAnsi="Arial" w:cs="Arial"/>
                <w:color w:val="000000"/>
                <w:sz w:val="24"/>
                <w:szCs w:val="24"/>
              </w:rPr>
              <w:t>the actual or anticipated effect of the Default; and</w:t>
            </w:r>
          </w:p>
          <w:p w:rsidR="00CB1396" w:rsidRDefault="00B823E2">
            <w:pPr>
              <w:pStyle w:val="Standard"/>
              <w:numPr>
                <w:ilvl w:val="0"/>
                <w:numId w:val="9"/>
              </w:numPr>
              <w:tabs>
                <w:tab w:val="left" w:pos="541"/>
                <w:tab w:val="left" w:pos="711"/>
              </w:tabs>
              <w:spacing w:after="120" w:line="240" w:lineRule="auto"/>
              <w:jc w:val="both"/>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w:t>
            </w:r>
            <w:r>
              <w:rPr>
                <w:rFonts w:ascii="Arial" w:eastAsia="Arial" w:hAnsi="Arial" w:cs="Arial"/>
                <w:color w:val="000000"/>
                <w:sz w:val="24"/>
                <w:szCs w:val="24"/>
              </w:rPr>
              <w:t xml:space="preserve"> of the Default (where applicable);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"Rectification Plan Process"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process set out in Clause 10.3.1 to 10.3.4 (Rectification Plan Process);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"Regulations"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Public Contracts Regulations 2015 and/or the Public Contracts (Scotland) Regulations 2015 (as</w:t>
            </w:r>
            <w:r>
              <w:rPr>
                <w:rFonts w:ascii="Arial" w:eastAsia="Arial" w:hAnsi="Arial" w:cs="Arial"/>
                <w:color w:val="000000"/>
                <w:sz w:val="24"/>
                <w:szCs w:val="24"/>
              </w:rPr>
              <w:t xml:space="preserve"> the context requires);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"Reimbursable Expenses"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reasonable out of pocket travel and subsistence (for example, hotel and food) expenses, properly and necessarily incurred in the performance of the Services, calculated at the rates and in accordance </w:t>
            </w:r>
            <w:r>
              <w:rPr>
                <w:rFonts w:ascii="Arial" w:eastAsia="Arial" w:hAnsi="Arial" w:cs="Arial"/>
                <w:color w:val="000000"/>
                <w:sz w:val="24"/>
                <w:szCs w:val="24"/>
              </w:rPr>
              <w:t>with the Buyer's expenses policy current from time to time, but not including:</w:t>
            </w:r>
          </w:p>
          <w:p w:rsidR="00CB1396" w:rsidRDefault="00B823E2">
            <w:pPr>
              <w:pStyle w:val="Standard"/>
              <w:numPr>
                <w:ilvl w:val="0"/>
                <w:numId w:val="38"/>
              </w:numPr>
              <w:tabs>
                <w:tab w:val="left" w:pos="541"/>
                <w:tab w:val="left" w:pos="711"/>
              </w:tabs>
              <w:jc w:val="both"/>
            </w:pPr>
            <w:r>
              <w:rPr>
                <w:rFonts w:ascii="Arial" w:eastAsia="Arial" w:hAnsi="Arial" w:cs="Arial"/>
                <w:color w:val="000000"/>
                <w:sz w:val="24"/>
                <w:szCs w:val="24"/>
              </w:rPr>
              <w:t xml:space="preserve">travel expenses incurred as a result of Supplier Staff travelling to and from their usual place of work, or to and from the premises at which the Services are principally to be </w:t>
            </w:r>
            <w:r>
              <w:rPr>
                <w:rFonts w:ascii="Arial" w:eastAsia="Arial" w:hAnsi="Arial" w:cs="Arial"/>
                <w:color w:val="000000"/>
                <w:sz w:val="24"/>
                <w:szCs w:val="24"/>
              </w:rPr>
              <w:t xml:space="preserve">performed, unless the Buyer otherwise </w:t>
            </w:r>
            <w:r>
              <w:rPr>
                <w:rFonts w:ascii="Arial" w:eastAsia="Arial" w:hAnsi="Arial" w:cs="Arial"/>
                <w:sz w:val="24"/>
                <w:szCs w:val="24"/>
              </w:rPr>
              <w:t>agreed</w:t>
            </w:r>
            <w:r>
              <w:rPr>
                <w:rFonts w:ascii="Arial" w:eastAsia="Arial" w:hAnsi="Arial" w:cs="Arial"/>
                <w:color w:val="000000"/>
                <w:sz w:val="24"/>
                <w:szCs w:val="24"/>
              </w:rPr>
              <w:t xml:space="preserve"> in advance in writing; and</w:t>
            </w:r>
          </w:p>
          <w:p w:rsidR="00CB1396" w:rsidRDefault="00B823E2">
            <w:pPr>
              <w:pStyle w:val="Standard"/>
              <w:numPr>
                <w:ilvl w:val="0"/>
                <w:numId w:val="4"/>
              </w:numPr>
              <w:tabs>
                <w:tab w:val="left" w:pos="541"/>
                <w:tab w:val="left" w:pos="711"/>
              </w:tabs>
              <w:spacing w:after="120" w:line="240" w:lineRule="auto"/>
              <w:jc w:val="both"/>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w:t>
            </w:r>
            <w:r>
              <w:rPr>
                <w:rFonts w:ascii="Arial" w:eastAsia="Arial" w:hAnsi="Arial" w:cs="Arial"/>
                <w:color w:val="000000"/>
                <w:sz w:val="24"/>
                <w:szCs w:val="24"/>
              </w:rPr>
              <w:t>formed;</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"Relevant Authority"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Authority which is party to the Contract to which a right or obligation is owed, as the context requires;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"Relevant Authority's Confidential Information"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numPr>
                <w:ilvl w:val="0"/>
                <w:numId w:val="39"/>
              </w:numPr>
              <w:tabs>
                <w:tab w:val="left" w:pos="144"/>
                <w:tab w:val="left" w:pos="864"/>
              </w:tabs>
              <w:jc w:val="both"/>
            </w:pPr>
            <w:r>
              <w:rPr>
                <w:rFonts w:ascii="Arial" w:eastAsia="Arial" w:hAnsi="Arial" w:cs="Arial"/>
                <w:color w:val="000000"/>
                <w:sz w:val="24"/>
                <w:szCs w:val="24"/>
              </w:rPr>
              <w:t xml:space="preserve">all Personal Data and any information, however it is conveyed, </w:t>
            </w:r>
            <w:r>
              <w:rPr>
                <w:rFonts w:ascii="Arial" w:eastAsia="Arial" w:hAnsi="Arial" w:cs="Arial"/>
                <w:color w:val="000000"/>
                <w:sz w:val="24"/>
                <w:szCs w:val="24"/>
              </w:rPr>
              <w:t>that relates to the business, affairs, developments, property rights, trade secrets, Know-How and IPR of the Relevant Authority (including all Relevant Authority Existing IPR and New IPR);</w:t>
            </w:r>
          </w:p>
          <w:p w:rsidR="00CB1396" w:rsidRDefault="00B823E2">
            <w:pPr>
              <w:pStyle w:val="Standard"/>
              <w:numPr>
                <w:ilvl w:val="0"/>
                <w:numId w:val="18"/>
              </w:numPr>
              <w:tabs>
                <w:tab w:val="left" w:pos="144"/>
                <w:tab w:val="left" w:pos="864"/>
              </w:tabs>
              <w:spacing w:after="120" w:line="240" w:lineRule="auto"/>
              <w:jc w:val="both"/>
            </w:pPr>
            <w:r>
              <w:rPr>
                <w:rFonts w:ascii="Arial" w:eastAsia="Arial" w:hAnsi="Arial" w:cs="Arial"/>
                <w:color w:val="000000"/>
                <w:sz w:val="24"/>
                <w:szCs w:val="24"/>
              </w:rPr>
              <w:t xml:space="preserve">any other information clearly designated as being confidential </w:t>
            </w:r>
            <w:r>
              <w:rPr>
                <w:rFonts w:ascii="Arial" w:eastAsia="Arial" w:hAnsi="Arial" w:cs="Arial"/>
                <w:color w:val="000000"/>
                <w:sz w:val="24"/>
                <w:szCs w:val="24"/>
              </w:rPr>
              <w:t>(whether or not it is marked "confidential") or which ought reasonably be considered confidential which comes (or has come) to the Relevant Authority’s attention or into the Relevant Authority’s possession in connection with a Contract; and</w:t>
            </w:r>
          </w:p>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information der</w:t>
            </w:r>
            <w:r>
              <w:rPr>
                <w:rFonts w:ascii="Arial" w:eastAsia="Arial" w:hAnsi="Arial" w:cs="Arial"/>
                <w:color w:val="000000"/>
                <w:sz w:val="24"/>
                <w:szCs w:val="24"/>
              </w:rPr>
              <w:t>ived from any of the above;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"Relevant   Requirements"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 xml:space="preserve">"Relevant </w:t>
            </w:r>
            <w:r>
              <w:rPr>
                <w:rFonts w:ascii="Arial" w:eastAsia="Arial" w:hAnsi="Arial" w:cs="Arial"/>
                <w:b/>
                <w:color w:val="000000"/>
                <w:sz w:val="24"/>
                <w:szCs w:val="24"/>
              </w:rPr>
              <w:t>Tax Authority"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HMRC, or, if applicable, the tax authority in the jurisdiction in which the Supplier is established;</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"Reminder Notice"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985"/>
                <w:tab w:val="left" w:pos="2127"/>
              </w:tabs>
              <w:spacing w:after="120" w:line="240" w:lineRule="auto"/>
              <w:jc w:val="both"/>
            </w:pPr>
            <w:r>
              <w:rPr>
                <w:rFonts w:ascii="Arial" w:eastAsia="Arial" w:hAnsi="Arial" w:cs="Arial"/>
                <w:color w:val="000000"/>
                <w:sz w:val="24"/>
                <w:szCs w:val="24"/>
              </w:rPr>
              <w:t>a notice sent in accordance with Clause 10.5 given by the Supplier to the Buyer providing notification that payment has n</w:t>
            </w:r>
            <w:r>
              <w:rPr>
                <w:rFonts w:ascii="Arial" w:eastAsia="Arial" w:hAnsi="Arial" w:cs="Arial"/>
                <w:color w:val="000000"/>
                <w:sz w:val="24"/>
                <w:szCs w:val="24"/>
              </w:rPr>
              <w:t>ot been received on time;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"Replacement Deliverables"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985"/>
                <w:tab w:val="left" w:pos="2127"/>
              </w:tabs>
              <w:spacing w:after="120" w:line="240" w:lineRule="auto"/>
              <w:jc w:val="both"/>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w:t>
            </w:r>
            <w:r>
              <w:rPr>
                <w:rFonts w:ascii="Arial" w:eastAsia="Arial" w:hAnsi="Arial" w:cs="Arial"/>
                <w:color w:val="000000"/>
                <w:sz w:val="24"/>
                <w:szCs w:val="24"/>
              </w:rPr>
              <w:t>ods are provided by the Buyer internally and/or by any third party;</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"Replacement Subcontractor"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w:t>
            </w:r>
            <w:r>
              <w:rPr>
                <w:rFonts w:ascii="Arial" w:eastAsia="Arial" w:hAnsi="Arial" w:cs="Arial"/>
                <w:color w:val="000000"/>
                <w:sz w:val="24"/>
                <w:szCs w:val="24"/>
              </w:rPr>
              <w:t>Subcontractor);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"Replacement Supplier"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w:t>
            </w:r>
            <w:r>
              <w:rPr>
                <w:rFonts w:ascii="Arial" w:eastAsia="Arial" w:hAnsi="Arial" w:cs="Arial"/>
                <w:color w:val="000000"/>
                <w:sz w:val="24"/>
                <w:szCs w:val="24"/>
              </w:rPr>
              <w:t>he Buyer;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"Request For Information"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"Required Insurances"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insurances</w:t>
            </w:r>
            <w:r>
              <w:rPr>
                <w:rFonts w:ascii="Arial" w:eastAsia="Arial" w:hAnsi="Arial" w:cs="Arial"/>
                <w:color w:val="000000"/>
                <w:sz w:val="24"/>
                <w:szCs w:val="24"/>
              </w:rPr>
              <w:t xml:space="preserve"> required by Joint Schedule 3 (Insurance Requirements) or any additional insurances specified in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"Satisfaction Certificate"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certificate (materially in the form of the document contained in of Part B of Call-Off Schedule 13 (Implementa</w:t>
            </w:r>
            <w:r>
              <w:rPr>
                <w:rFonts w:ascii="Arial" w:eastAsia="Arial" w:hAnsi="Arial" w:cs="Arial"/>
                <w:color w:val="000000"/>
                <w:sz w:val="24"/>
                <w:szCs w:val="24"/>
              </w:rPr>
              <w:t>tion Plan and Testing) or as agreed by the Parties where Call-Off Schedule 13 is not used in this Contract) granted by the Buyer when the Supplier has met all of the requirements of an Order, Achieved a Milestone or a Test;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"Security Management Plan"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w:t>
            </w:r>
            <w:r>
              <w:rPr>
                <w:rFonts w:ascii="Arial" w:eastAsia="Arial" w:hAnsi="Arial" w:cs="Arial"/>
                <w:color w:val="000000"/>
                <w:sz w:val="24"/>
                <w:szCs w:val="24"/>
              </w:rPr>
              <w:t>Supplier's security management plan prepared pursuant to Call-Off Schedule 9 (Security) (if applicable);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"Security Policy"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Buyer's security policy, referred to in the Order Form, in force as at the Call-Off Start Date (a copy of which has been </w:t>
            </w:r>
            <w:r>
              <w:rPr>
                <w:rFonts w:ascii="Arial" w:eastAsia="Arial" w:hAnsi="Arial" w:cs="Arial"/>
                <w:color w:val="000000"/>
                <w:sz w:val="24"/>
                <w:szCs w:val="24"/>
              </w:rPr>
              <w:t>supplied to the Supplier), as updated from time to time and notified to the Supplier;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"Self Audit Certificate"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means the certificate in the form as set out in Framework Schedule 8 (Self Audit Certificate);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"Serious Fraud Office"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UK Government body na</w:t>
            </w:r>
            <w:r>
              <w:rPr>
                <w:rFonts w:ascii="Arial" w:eastAsia="Arial" w:hAnsi="Arial" w:cs="Arial"/>
                <w:color w:val="000000"/>
                <w:sz w:val="24"/>
                <w:szCs w:val="24"/>
              </w:rPr>
              <w:t>med as such as may be renamed or replaced by an equivalent body from time to time;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“Service Levels”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service levels applicable to the provision of the Deliverables under the Call Off Contract (which, where Call Off Schedule 14 (Service Levels) is used </w:t>
            </w:r>
            <w:r>
              <w:rPr>
                <w:rFonts w:ascii="Arial" w:eastAsia="Arial" w:hAnsi="Arial" w:cs="Arial"/>
                <w:color w:val="000000"/>
                <w:sz w:val="24"/>
                <w:szCs w:val="24"/>
              </w:rPr>
              <w:t>in this Contract, are specified in the Annex to Part A of such Schedule);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"Service Period"</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has the meaning given to it in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"Services"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services made available by the Supplier as specified in Framework Schedule 1 (Specification) and in </w:t>
            </w:r>
            <w:r>
              <w:rPr>
                <w:rFonts w:ascii="Arial" w:eastAsia="Arial" w:hAnsi="Arial" w:cs="Arial"/>
                <w:color w:val="000000"/>
                <w:sz w:val="24"/>
                <w:szCs w:val="24"/>
              </w:rPr>
              <w:t>relation to a Call-Off Contract as specified in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"Service Transfer"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bookmarkStart w:id="5" w:name="_tyjcwt"/>
            <w:bookmarkEnd w:id="5"/>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w:t>
            </w:r>
            <w:r>
              <w:rPr>
                <w:rFonts w:ascii="Arial" w:eastAsia="Arial" w:hAnsi="Arial" w:cs="Arial"/>
                <w:color w:val="000000"/>
                <w:sz w:val="24"/>
                <w:szCs w:val="24"/>
              </w:rPr>
              <w:t>ubcontractor;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"Service Transfer Date"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date of a Service Transfer;</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"Sites"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premises (including the Buyer Premises, the Supplier’s premises or third party premises) from, to or at which:</w:t>
            </w:r>
          </w:p>
          <w:p w:rsidR="00CB1396" w:rsidRDefault="00B823E2">
            <w:pPr>
              <w:pStyle w:val="Standard"/>
              <w:numPr>
                <w:ilvl w:val="0"/>
                <w:numId w:val="40"/>
              </w:numPr>
              <w:tabs>
                <w:tab w:val="left" w:pos="144"/>
                <w:tab w:val="left" w:pos="864"/>
              </w:tabs>
              <w:jc w:val="both"/>
            </w:pPr>
            <w:r>
              <w:rPr>
                <w:rFonts w:ascii="Arial" w:eastAsia="Arial" w:hAnsi="Arial" w:cs="Arial"/>
                <w:color w:val="000000"/>
                <w:sz w:val="24"/>
                <w:szCs w:val="24"/>
              </w:rPr>
              <w:t>the Deliverables are (or are to be) provided; or</w:t>
            </w:r>
          </w:p>
          <w:p w:rsidR="00CB1396" w:rsidRDefault="00B823E2">
            <w:pPr>
              <w:pStyle w:val="Standard"/>
              <w:numPr>
                <w:ilvl w:val="0"/>
                <w:numId w:val="6"/>
              </w:numPr>
              <w:tabs>
                <w:tab w:val="left" w:pos="144"/>
                <w:tab w:val="left" w:pos="864"/>
              </w:tabs>
              <w:spacing w:after="120" w:line="240" w:lineRule="auto"/>
              <w:jc w:val="both"/>
            </w:pPr>
            <w:r>
              <w:rPr>
                <w:rFonts w:ascii="Arial" w:eastAsia="Arial" w:hAnsi="Arial" w:cs="Arial"/>
                <w:color w:val="000000"/>
                <w:sz w:val="24"/>
                <w:szCs w:val="24"/>
              </w:rPr>
              <w:t>the Supplier</w:t>
            </w:r>
            <w:r>
              <w:rPr>
                <w:rFonts w:ascii="Arial" w:eastAsia="Arial" w:hAnsi="Arial" w:cs="Arial"/>
                <w:color w:val="000000"/>
                <w:sz w:val="24"/>
                <w:szCs w:val="24"/>
              </w:rPr>
              <w:t xml:space="preserve"> manages, organises or otherwise directs the provision or the use of the Deliverables;</w:t>
            </w:r>
          </w:p>
          <w:p w:rsidR="00CB1396" w:rsidRDefault="00B823E2">
            <w:pPr>
              <w:pStyle w:val="Standard"/>
              <w:numPr>
                <w:ilvl w:val="0"/>
                <w:numId w:val="6"/>
              </w:numPr>
              <w:tabs>
                <w:tab w:val="left" w:pos="144"/>
                <w:tab w:val="left" w:pos="864"/>
              </w:tabs>
              <w:spacing w:after="120" w:line="240" w:lineRule="auto"/>
              <w:jc w:val="both"/>
            </w:pPr>
            <w:r>
              <w:rPr>
                <w:rFonts w:ascii="Arial" w:eastAsia="Arial" w:hAnsi="Arial" w:cs="Arial"/>
                <w:sz w:val="24"/>
                <w:szCs w:val="24"/>
              </w:rPr>
              <w:t xml:space="preserve">those premises at which any Supplier Equipment or any part of the Supplier System is located (where any part of the Deliverables provided falls within Call-Off Schedule </w:t>
            </w:r>
            <w:r>
              <w:rPr>
                <w:rFonts w:ascii="Arial" w:eastAsia="Arial" w:hAnsi="Arial" w:cs="Arial"/>
                <w:sz w:val="24"/>
                <w:szCs w:val="24"/>
              </w:rPr>
              <w:t>6 (ICT Services);</w:t>
            </w:r>
          </w:p>
        </w:tc>
      </w:tr>
      <w:tr w:rsidR="00CB1396">
        <w:tblPrEx>
          <w:tblCellMar>
            <w:top w:w="0" w:type="dxa"/>
            <w:bottom w:w="0" w:type="dxa"/>
          </w:tblCellMar>
        </w:tblPrEx>
        <w:trPr>
          <w:trHeight w:val="945"/>
        </w:trPr>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"SME"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CB1396">
        <w:tblPrEx>
          <w:tblCellMar>
            <w:top w:w="0" w:type="dxa"/>
            <w:bottom w:w="0" w:type="dxa"/>
          </w:tblCellMar>
        </w:tblPrEx>
        <w:trPr>
          <w:trHeight w:val="945"/>
        </w:trPr>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"Special Terms"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w:t>
            </w:r>
            <w:r>
              <w:rPr>
                <w:rFonts w:ascii="Arial" w:eastAsia="Arial" w:hAnsi="Arial" w:cs="Arial"/>
                <w:color w:val="000000"/>
                <w:sz w:val="24"/>
                <w:szCs w:val="24"/>
              </w:rPr>
              <w:t>additional Clauses set out in the Framework Award Form or Order Form which shall form part of the respective Contract;</w:t>
            </w:r>
          </w:p>
        </w:tc>
      </w:tr>
      <w:tr w:rsidR="00CB1396">
        <w:tblPrEx>
          <w:tblCellMar>
            <w:top w:w="0" w:type="dxa"/>
            <w:bottom w:w="0" w:type="dxa"/>
          </w:tblCellMar>
        </w:tblPrEx>
        <w:trPr>
          <w:trHeight w:val="945"/>
        </w:trPr>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"Specific Change in Law"</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Change in Law that relates specifically to the business of the Buyer and which would not affect a Comparable </w:t>
            </w:r>
            <w:r>
              <w:rPr>
                <w:rFonts w:ascii="Arial" w:eastAsia="Arial" w:hAnsi="Arial" w:cs="Arial"/>
                <w:color w:val="000000"/>
                <w:sz w:val="24"/>
                <w:szCs w:val="24"/>
              </w:rPr>
              <w:t>Supply where the effect of that Specific Change in Law on the Deliverables is not reasonably foreseeable at the Start Date;</w:t>
            </w:r>
          </w:p>
        </w:tc>
      </w:tr>
      <w:tr w:rsidR="00CB1396">
        <w:tblPrEx>
          <w:tblCellMar>
            <w:top w:w="0" w:type="dxa"/>
            <w:bottom w:w="0" w:type="dxa"/>
          </w:tblCellMar>
        </w:tblPrEx>
        <w:trPr>
          <w:trHeight w:val="945"/>
        </w:trPr>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"Specification"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specification set out in Framework Schedule 1 (Specification), as may, in relation to a Call-Off Contract, be s</w:t>
            </w:r>
            <w:r>
              <w:rPr>
                <w:rFonts w:ascii="Arial" w:eastAsia="Arial" w:hAnsi="Arial" w:cs="Arial"/>
                <w:color w:val="000000"/>
                <w:sz w:val="24"/>
                <w:szCs w:val="24"/>
              </w:rPr>
              <w:t>upplemented by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"Standards"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w:t>
            </w:r>
          </w:p>
          <w:p w:rsidR="00CB1396" w:rsidRDefault="00B823E2">
            <w:pPr>
              <w:pStyle w:val="Standard"/>
              <w:numPr>
                <w:ilvl w:val="0"/>
                <w:numId w:val="41"/>
              </w:numPr>
              <w:tabs>
                <w:tab w:val="left" w:pos="144"/>
                <w:tab w:val="left" w:pos="864"/>
              </w:tabs>
              <w:jc w:val="both"/>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w:t>
            </w:r>
            <w:r>
              <w:rPr>
                <w:rFonts w:ascii="Arial" w:eastAsia="Arial" w:hAnsi="Arial" w:cs="Arial"/>
                <w:color w:val="000000"/>
                <w:sz w:val="24"/>
                <w:szCs w:val="24"/>
              </w:rPr>
              <w:t>r bodies) that a skilled and experienced operator in the same type of industry or business sector as the Supplier would reasonably and ordinarily be expected to comply with;</w:t>
            </w:r>
          </w:p>
          <w:p w:rsidR="00CB1396" w:rsidRDefault="00B823E2">
            <w:pPr>
              <w:pStyle w:val="Standard"/>
              <w:numPr>
                <w:ilvl w:val="0"/>
                <w:numId w:val="7"/>
              </w:numPr>
              <w:tabs>
                <w:tab w:val="left" w:pos="144"/>
                <w:tab w:val="left" w:pos="864"/>
              </w:tabs>
              <w:jc w:val="both"/>
            </w:pPr>
            <w:r>
              <w:rPr>
                <w:rFonts w:ascii="Arial" w:eastAsia="Arial" w:hAnsi="Arial" w:cs="Arial"/>
                <w:color w:val="000000"/>
                <w:sz w:val="24"/>
                <w:szCs w:val="24"/>
              </w:rPr>
              <w:t>standards detailed in the specification in Schedule 1 (Specification);</w:t>
            </w:r>
          </w:p>
          <w:p w:rsidR="00CB1396" w:rsidRDefault="00B823E2">
            <w:pPr>
              <w:pStyle w:val="Standard"/>
              <w:numPr>
                <w:ilvl w:val="0"/>
                <w:numId w:val="7"/>
              </w:numPr>
              <w:tabs>
                <w:tab w:val="left" w:pos="144"/>
                <w:tab w:val="left" w:pos="864"/>
              </w:tabs>
              <w:jc w:val="both"/>
            </w:pPr>
            <w:r>
              <w:rPr>
                <w:rFonts w:ascii="Arial" w:eastAsia="Arial" w:hAnsi="Arial" w:cs="Arial"/>
                <w:color w:val="000000"/>
                <w:sz w:val="24"/>
                <w:szCs w:val="24"/>
              </w:rPr>
              <w:t xml:space="preserve">standards </w:t>
            </w:r>
            <w:r>
              <w:rPr>
                <w:rFonts w:ascii="Arial" w:eastAsia="Arial" w:hAnsi="Arial" w:cs="Arial"/>
                <w:color w:val="000000"/>
                <w:sz w:val="24"/>
                <w:szCs w:val="24"/>
              </w:rPr>
              <w:t>detailed by the Buyer in the Order Form or agreed between the Parties from time to time;</w:t>
            </w:r>
          </w:p>
          <w:p w:rsidR="00CB1396" w:rsidRDefault="00B823E2">
            <w:pPr>
              <w:pStyle w:val="Standard"/>
              <w:numPr>
                <w:ilvl w:val="0"/>
                <w:numId w:val="7"/>
              </w:numPr>
              <w:tabs>
                <w:tab w:val="left" w:pos="144"/>
                <w:tab w:val="left" w:pos="864"/>
              </w:tabs>
              <w:spacing w:after="120" w:line="240" w:lineRule="auto"/>
              <w:jc w:val="both"/>
            </w:pPr>
            <w:r>
              <w:rPr>
                <w:rFonts w:ascii="Arial" w:eastAsia="Arial" w:hAnsi="Arial" w:cs="Arial"/>
                <w:color w:val="000000"/>
                <w:sz w:val="24"/>
                <w:szCs w:val="24"/>
              </w:rPr>
              <w:t>relevant Government codes of practice and guidance applicable from time to time;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"Start Date"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in the case of the Framework Contract, the date specified on the Framewo</w:t>
            </w:r>
            <w:r>
              <w:rPr>
                <w:rFonts w:ascii="Arial" w:eastAsia="Arial" w:hAnsi="Arial" w:cs="Arial"/>
                <w:color w:val="000000"/>
                <w:sz w:val="24"/>
                <w:szCs w:val="24"/>
              </w:rPr>
              <w:t>rk Award Form, and in the case of a Call-Off Contract, the date specified in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"Statement of Requirements"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 statement issued by the Buyer detailing its requirements in respect of Deliverables issued in accordance with the Call-Off </w:t>
            </w:r>
            <w:r>
              <w:rPr>
                <w:rFonts w:ascii="Arial" w:eastAsia="Arial" w:hAnsi="Arial" w:cs="Arial"/>
                <w:color w:val="000000"/>
                <w:sz w:val="24"/>
                <w:szCs w:val="24"/>
              </w:rPr>
              <w:t>Procedure;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"Storage Media"</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part of any device that is capable of storing and retrieving data;</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"Sub-Contract"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contract or agreement (or proposed contract or agreement), other than a Call-Off Contract or the Framework Contract, pursuant to which a</w:t>
            </w:r>
            <w:r>
              <w:rPr>
                <w:rFonts w:ascii="Arial" w:eastAsia="Arial" w:hAnsi="Arial" w:cs="Arial"/>
                <w:color w:val="000000"/>
                <w:sz w:val="24"/>
                <w:szCs w:val="24"/>
              </w:rPr>
              <w:t xml:space="preserve"> third party:</w:t>
            </w:r>
          </w:p>
          <w:p w:rsidR="00CB1396" w:rsidRDefault="00B823E2">
            <w:pPr>
              <w:pStyle w:val="Standard"/>
              <w:numPr>
                <w:ilvl w:val="0"/>
                <w:numId w:val="42"/>
              </w:numPr>
              <w:tabs>
                <w:tab w:val="left" w:pos="144"/>
                <w:tab w:val="left" w:pos="864"/>
              </w:tabs>
              <w:jc w:val="both"/>
            </w:pPr>
            <w:r>
              <w:rPr>
                <w:rFonts w:ascii="Arial" w:eastAsia="Arial" w:hAnsi="Arial" w:cs="Arial"/>
                <w:color w:val="000000"/>
                <w:sz w:val="24"/>
                <w:szCs w:val="24"/>
              </w:rPr>
              <w:t>provides the Deliverables (or any part of them);</w:t>
            </w:r>
          </w:p>
          <w:p w:rsidR="00CB1396" w:rsidRDefault="00B823E2">
            <w:pPr>
              <w:pStyle w:val="Standard"/>
              <w:numPr>
                <w:ilvl w:val="0"/>
                <w:numId w:val="2"/>
              </w:numPr>
              <w:tabs>
                <w:tab w:val="left" w:pos="144"/>
                <w:tab w:val="left" w:pos="864"/>
              </w:tabs>
              <w:jc w:val="both"/>
            </w:pPr>
            <w:r>
              <w:rPr>
                <w:rFonts w:ascii="Arial" w:eastAsia="Arial" w:hAnsi="Arial" w:cs="Arial"/>
                <w:color w:val="000000"/>
                <w:sz w:val="24"/>
                <w:szCs w:val="24"/>
              </w:rPr>
              <w:t>provides facilities or services necessary for the provision of the Deliverables (or any part of them); and/or</w:t>
            </w:r>
          </w:p>
          <w:p w:rsidR="00CB1396" w:rsidRDefault="00B823E2">
            <w:pPr>
              <w:pStyle w:val="Standard"/>
              <w:numPr>
                <w:ilvl w:val="0"/>
                <w:numId w:val="2"/>
              </w:numPr>
              <w:tabs>
                <w:tab w:val="left" w:pos="144"/>
                <w:tab w:val="left" w:pos="864"/>
              </w:tabs>
              <w:spacing w:after="120" w:line="240" w:lineRule="auto"/>
              <w:jc w:val="both"/>
            </w:pPr>
            <w:r>
              <w:rPr>
                <w:rFonts w:ascii="Arial" w:eastAsia="Arial" w:hAnsi="Arial" w:cs="Arial"/>
                <w:color w:val="000000"/>
                <w:sz w:val="24"/>
                <w:szCs w:val="24"/>
              </w:rPr>
              <w:t xml:space="preserve">is responsible for the management, direction or control of the provision of the </w:t>
            </w:r>
            <w:r>
              <w:rPr>
                <w:rFonts w:ascii="Arial" w:eastAsia="Arial" w:hAnsi="Arial" w:cs="Arial"/>
                <w:color w:val="000000"/>
                <w:sz w:val="24"/>
                <w:szCs w:val="24"/>
              </w:rPr>
              <w:t>Deliverables (or any part of them);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"Subcontractor"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person other than the Supplier, who is a party to a Sub-Contract and the servants or agents of that person;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"Subprocessor"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third Party appointed to process Personal Data on behalf of that Proces</w:t>
            </w:r>
            <w:r>
              <w:rPr>
                <w:rFonts w:ascii="Arial" w:eastAsia="Arial" w:hAnsi="Arial" w:cs="Arial"/>
                <w:color w:val="000000"/>
                <w:sz w:val="24"/>
                <w:szCs w:val="24"/>
              </w:rPr>
              <w:t>sor related to a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person, firm or company identified in the Framework Award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 Assets"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all assets and rights used by the Supplier to provide the Deliverables in accordance with the Call-Off Contract but excluding the </w:t>
            </w:r>
            <w:r>
              <w:rPr>
                <w:rFonts w:ascii="Arial" w:eastAsia="Arial" w:hAnsi="Arial" w:cs="Arial"/>
                <w:color w:val="000000"/>
                <w:sz w:val="24"/>
                <w:szCs w:val="24"/>
              </w:rPr>
              <w:t>Buyer Assets;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 Authorised Representative"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representative appointed by the Supplier named in the Framework Award Form, or later defined in a Call-Off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"Supplier's Confidential Information"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numPr>
                <w:ilvl w:val="0"/>
                <w:numId w:val="43"/>
              </w:numPr>
              <w:tabs>
                <w:tab w:val="left" w:pos="144"/>
                <w:tab w:val="left" w:pos="864"/>
              </w:tabs>
              <w:jc w:val="both"/>
            </w:pPr>
            <w:r>
              <w:rPr>
                <w:rFonts w:ascii="Arial" w:eastAsia="Arial" w:hAnsi="Arial" w:cs="Arial"/>
                <w:color w:val="000000"/>
                <w:sz w:val="24"/>
                <w:szCs w:val="24"/>
              </w:rPr>
              <w:t>any information, however it is conveyed, th</w:t>
            </w:r>
            <w:r>
              <w:rPr>
                <w:rFonts w:ascii="Arial" w:eastAsia="Arial" w:hAnsi="Arial" w:cs="Arial"/>
                <w:color w:val="000000"/>
                <w:sz w:val="24"/>
                <w:szCs w:val="24"/>
              </w:rPr>
              <w:t>at relates to the business, affairs, developments, IPR of the Supplier (including the Supplier Existing IPR) trade secrets, Know-How, and/or personnel of the Supplier;</w:t>
            </w:r>
          </w:p>
          <w:p w:rsidR="00CB1396" w:rsidRDefault="00B823E2">
            <w:pPr>
              <w:pStyle w:val="Standard"/>
              <w:numPr>
                <w:ilvl w:val="0"/>
                <w:numId w:val="21"/>
              </w:numPr>
              <w:tabs>
                <w:tab w:val="left" w:pos="144"/>
                <w:tab w:val="left" w:pos="864"/>
              </w:tabs>
              <w:jc w:val="both"/>
            </w:pPr>
            <w:r>
              <w:rPr>
                <w:rFonts w:ascii="Arial" w:eastAsia="Arial" w:hAnsi="Arial" w:cs="Arial"/>
                <w:color w:val="000000"/>
                <w:sz w:val="24"/>
                <w:szCs w:val="24"/>
              </w:rPr>
              <w:t xml:space="preserve">any other information clearly designated as being confidential (whether or not it is </w:t>
            </w:r>
            <w:r>
              <w:rPr>
                <w:rFonts w:ascii="Arial" w:eastAsia="Arial" w:hAnsi="Arial" w:cs="Arial"/>
                <w:color w:val="000000"/>
                <w:sz w:val="24"/>
                <w:szCs w:val="24"/>
              </w:rPr>
              <w:t>marked as "confidential") or which ought reasonably to be considered to be confidential and which comes (or has come) to the Supplier’s attention or into the Supplier’s possession in connection with a Contract;</w:t>
            </w:r>
          </w:p>
          <w:p w:rsidR="00CB1396" w:rsidRDefault="00B823E2">
            <w:pPr>
              <w:pStyle w:val="Standard"/>
              <w:numPr>
                <w:ilvl w:val="0"/>
                <w:numId w:val="21"/>
              </w:numPr>
              <w:tabs>
                <w:tab w:val="left" w:pos="144"/>
                <w:tab w:val="left" w:pos="864"/>
              </w:tabs>
              <w:spacing w:after="120" w:line="240" w:lineRule="auto"/>
              <w:jc w:val="both"/>
            </w:pPr>
            <w:r>
              <w:rPr>
                <w:rFonts w:ascii="Arial" w:eastAsia="Arial" w:hAnsi="Arial" w:cs="Arial"/>
                <w:color w:val="000000"/>
                <w:sz w:val="24"/>
                <w:szCs w:val="24"/>
              </w:rPr>
              <w:t>Information derived from any of (a) and (b) a</w:t>
            </w:r>
            <w:r>
              <w:rPr>
                <w:rFonts w:ascii="Arial" w:eastAsia="Arial" w:hAnsi="Arial" w:cs="Arial"/>
                <w:color w:val="000000"/>
                <w:sz w:val="24"/>
                <w:szCs w:val="24"/>
              </w:rPr>
              <w:t>bove;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01"/>
              </w:tabs>
              <w:spacing w:before="120" w:after="120" w:line="240" w:lineRule="auto"/>
              <w:ind w:left="567" w:hanging="425"/>
            </w:pPr>
            <w:r>
              <w:rPr>
                <w:rFonts w:ascii="Arial" w:eastAsia="Arial" w:hAnsi="Arial" w:cs="Arial"/>
                <w:b/>
                <w:color w:val="000000"/>
                <w:sz w:val="24"/>
                <w:szCs w:val="24"/>
              </w:rPr>
              <w:t>"Supplier's Contract Manager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134"/>
              </w:tabs>
              <w:spacing w:before="120" w:after="120" w:line="240" w:lineRule="auto"/>
              <w:jc w:val="both"/>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w:t>
            </w:r>
            <w:r>
              <w:rPr>
                <w:rFonts w:ascii="Arial" w:eastAsia="Arial" w:hAnsi="Arial" w:cs="Arial"/>
                <w:color w:val="000000"/>
                <w:sz w:val="24"/>
                <w:szCs w:val="24"/>
              </w:rPr>
              <w:t xml:space="preserve"> informs the Buyer prior to the appointment;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 Equipment"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Supplier's hardware, computer and telecoms devices, equipment, plant, materials and such other items supplied and used by the Supplier (but not hired, leased or loaned from the Buyer) </w:t>
            </w:r>
            <w:r>
              <w:rPr>
                <w:rFonts w:ascii="Arial" w:eastAsia="Arial" w:hAnsi="Arial" w:cs="Arial"/>
                <w:color w:val="000000"/>
                <w:sz w:val="24"/>
                <w:szCs w:val="24"/>
              </w:rPr>
              <w:t>in the performance of its obligations under this Call-Off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 Marketing Contact"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shall be the person identified in the Framework Award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 Non-Performance"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where the Supplier has failed to:</w:t>
            </w:r>
          </w:p>
          <w:p w:rsidR="00CB1396" w:rsidRDefault="00B823E2">
            <w:pPr>
              <w:pStyle w:val="Standard"/>
              <w:numPr>
                <w:ilvl w:val="0"/>
                <w:numId w:val="44"/>
              </w:numPr>
              <w:tabs>
                <w:tab w:val="left" w:pos="144"/>
                <w:tab w:val="left" w:pos="864"/>
              </w:tabs>
              <w:jc w:val="both"/>
            </w:pPr>
            <w:r>
              <w:rPr>
                <w:rFonts w:ascii="Arial" w:eastAsia="Arial" w:hAnsi="Arial" w:cs="Arial"/>
                <w:color w:val="000000"/>
                <w:sz w:val="24"/>
                <w:szCs w:val="24"/>
              </w:rPr>
              <w:t>Achieve a Milestone by its Milestone</w:t>
            </w:r>
            <w:r>
              <w:rPr>
                <w:rFonts w:ascii="Arial" w:eastAsia="Arial" w:hAnsi="Arial" w:cs="Arial"/>
                <w:color w:val="000000"/>
                <w:sz w:val="24"/>
                <w:szCs w:val="24"/>
              </w:rPr>
              <w:t xml:space="preserve"> Date;</w:t>
            </w:r>
          </w:p>
          <w:p w:rsidR="00CB1396" w:rsidRDefault="00B823E2">
            <w:pPr>
              <w:pStyle w:val="Standard"/>
              <w:numPr>
                <w:ilvl w:val="0"/>
                <w:numId w:val="13"/>
              </w:numPr>
              <w:tabs>
                <w:tab w:val="left" w:pos="144"/>
                <w:tab w:val="left" w:pos="864"/>
              </w:tabs>
              <w:jc w:val="both"/>
            </w:pPr>
            <w:r>
              <w:rPr>
                <w:rFonts w:ascii="Arial" w:eastAsia="Arial" w:hAnsi="Arial" w:cs="Arial"/>
                <w:color w:val="000000"/>
                <w:sz w:val="24"/>
                <w:szCs w:val="24"/>
              </w:rPr>
              <w:t>provide the Goods and/or Services in accordance with the Service Levels ; and/or</w:t>
            </w:r>
          </w:p>
          <w:p w:rsidR="00CB1396" w:rsidRDefault="00B823E2">
            <w:pPr>
              <w:pStyle w:val="Standard"/>
              <w:numPr>
                <w:ilvl w:val="0"/>
                <w:numId w:val="13"/>
              </w:numPr>
              <w:tabs>
                <w:tab w:val="left" w:pos="144"/>
                <w:tab w:val="left" w:pos="864"/>
              </w:tabs>
              <w:spacing w:after="120" w:line="240" w:lineRule="auto"/>
              <w:jc w:val="both"/>
            </w:pPr>
            <w:r>
              <w:rPr>
                <w:rFonts w:ascii="Arial" w:eastAsia="Arial" w:hAnsi="Arial" w:cs="Arial"/>
                <w:color w:val="000000"/>
                <w:sz w:val="24"/>
                <w:szCs w:val="24"/>
              </w:rPr>
              <w:t>comply with an obligation under a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 Profit"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in relation to a period, the difference between the total Charges (in nominal cash flow terms but </w:t>
            </w:r>
            <w:r>
              <w:rPr>
                <w:rFonts w:ascii="Arial" w:eastAsia="Arial" w:hAnsi="Arial" w:cs="Arial"/>
                <w:color w:val="000000"/>
                <w:sz w:val="24"/>
                <w:szCs w:val="24"/>
              </w:rPr>
              <w:t>excluding any Deductions and total Costs (in nominal cash flow terms) in respect of a Call-Off Contract for the relevant period;</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 Profit Margin"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in relation to a period or a Milestone (as the context requires), the Supplier Profit for the relevan</w:t>
            </w:r>
            <w:r>
              <w:rPr>
                <w:rFonts w:ascii="Arial" w:eastAsia="Arial" w:hAnsi="Arial" w:cs="Arial"/>
                <w:color w:val="000000"/>
                <w:sz w:val="24"/>
                <w:szCs w:val="24"/>
              </w:rPr>
              <w:t>t period or in relation to the relevant Milestone divided by the total Charges over the same period or in relation to the relevant Milestone and expressed as a percentage;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"Supplier Staff"</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all directors, officers, employees, agents, consultants and contra</w:t>
            </w:r>
            <w:r>
              <w:rPr>
                <w:rFonts w:ascii="Arial" w:eastAsia="Arial" w:hAnsi="Arial" w:cs="Arial"/>
                <w:color w:val="000000"/>
                <w:sz w:val="24"/>
                <w:szCs w:val="24"/>
              </w:rPr>
              <w:t>ctors of the Supplier and/or of any Subcontractor engaged in the performance of the Supplier’s obligations under a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"Supporting Documentation"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sufficient information in writing to enable the Buyer to reasonably assess whether the Charges, </w:t>
            </w:r>
            <w:r>
              <w:rPr>
                <w:rFonts w:ascii="Arial" w:eastAsia="Arial" w:hAnsi="Arial" w:cs="Arial"/>
                <w:color w:val="000000"/>
                <w:sz w:val="24"/>
                <w:szCs w:val="24"/>
              </w:rPr>
              <w:t>Reimbursable Expenses and other sums due from the Buyer under the Call-Off Contract detailed in the information are properly payable;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sz w:val="24"/>
                <w:szCs w:val="24"/>
              </w:rPr>
              <w:t>“Tax”</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41"/>
                <w:tab w:val="left" w:pos="311"/>
              </w:tabs>
              <w:spacing w:before="240" w:after="240" w:line="240" w:lineRule="auto"/>
              <w:ind w:left="320" w:hanging="160"/>
              <w:jc w:val="both"/>
            </w:pPr>
            <w:r>
              <w:rPr>
                <w:rFonts w:ascii="Arial" w:eastAsia="Arial" w:hAnsi="Arial" w:cs="Arial"/>
                <w:sz w:val="24"/>
                <w:szCs w:val="24"/>
              </w:rPr>
              <w:t>a)  all forms of taxation whether direct or indirect;</w:t>
            </w:r>
          </w:p>
          <w:p w:rsidR="00CB1396" w:rsidRDefault="00B823E2">
            <w:pPr>
              <w:pStyle w:val="Standard"/>
              <w:tabs>
                <w:tab w:val="left" w:pos="141"/>
                <w:tab w:val="left" w:pos="311"/>
              </w:tabs>
              <w:spacing w:before="240" w:after="240" w:line="240" w:lineRule="auto"/>
              <w:ind w:left="320" w:hanging="160"/>
              <w:jc w:val="both"/>
            </w:pPr>
            <w:r>
              <w:rPr>
                <w:rFonts w:ascii="Arial" w:eastAsia="Arial" w:hAnsi="Arial" w:cs="Arial"/>
                <w:sz w:val="24"/>
                <w:szCs w:val="24"/>
              </w:rPr>
              <w:t>b) national insurance contributions in the United Kingdom and</w:t>
            </w:r>
            <w:r>
              <w:rPr>
                <w:rFonts w:ascii="Arial" w:eastAsia="Arial" w:hAnsi="Arial" w:cs="Arial"/>
                <w:sz w:val="24"/>
                <w:szCs w:val="24"/>
              </w:rPr>
              <w:t xml:space="preserve"> similar contributions or obligations in any other jurisdiction;</w:t>
            </w:r>
          </w:p>
          <w:p w:rsidR="00CB1396" w:rsidRDefault="00B823E2">
            <w:pPr>
              <w:pStyle w:val="Standard"/>
              <w:tabs>
                <w:tab w:val="left" w:pos="141"/>
                <w:tab w:val="left" w:pos="311"/>
              </w:tabs>
              <w:spacing w:before="240" w:after="240" w:line="240" w:lineRule="auto"/>
              <w:ind w:left="320" w:hanging="160"/>
              <w:jc w:val="both"/>
            </w:pPr>
            <w:r>
              <w:rPr>
                <w:rFonts w:ascii="Arial" w:eastAsia="Arial" w:hAnsi="Arial" w:cs="Arial"/>
                <w:sz w:val="24"/>
                <w:szCs w:val="24"/>
              </w:rPr>
              <w:t>c) all statutory, governmental, state, federal, provincial, local government or municipal charges, duties, imports, contributions. levies or liabilities (other than in return  for goods or se</w:t>
            </w:r>
            <w:r>
              <w:rPr>
                <w:rFonts w:ascii="Arial" w:eastAsia="Arial" w:hAnsi="Arial" w:cs="Arial"/>
                <w:sz w:val="24"/>
                <w:szCs w:val="24"/>
              </w:rPr>
              <w:t>rvices supplied or performed or to be performed) and withholdings; and</w:t>
            </w:r>
          </w:p>
          <w:p w:rsidR="00CB1396" w:rsidRDefault="00B823E2">
            <w:pPr>
              <w:pStyle w:val="Standard"/>
              <w:tabs>
                <w:tab w:val="left" w:pos="141"/>
                <w:tab w:val="left" w:pos="311"/>
              </w:tabs>
              <w:spacing w:before="240" w:after="240" w:line="240" w:lineRule="auto"/>
              <w:ind w:left="320" w:hanging="160"/>
              <w:jc w:val="both"/>
            </w:pPr>
            <w:r>
              <w:rPr>
                <w:rFonts w:ascii="Arial" w:eastAsia="Arial" w:hAnsi="Arial" w:cs="Arial"/>
                <w:sz w:val="24"/>
                <w:szCs w:val="24"/>
              </w:rPr>
              <w:t>d)  any penalty, fine, surcharge, interest, charges or costs relating to any of the above,</w:t>
            </w:r>
          </w:p>
          <w:p w:rsidR="00CB1396" w:rsidRDefault="00B823E2">
            <w:pPr>
              <w:pStyle w:val="Standard"/>
              <w:tabs>
                <w:tab w:val="left" w:pos="-179"/>
                <w:tab w:val="left" w:pos="-9"/>
              </w:tabs>
              <w:spacing w:after="120" w:line="240" w:lineRule="auto"/>
              <w:jc w:val="both"/>
            </w:pPr>
            <w:r>
              <w:rPr>
                <w:rFonts w:ascii="Arial" w:eastAsia="Arial" w:hAnsi="Arial" w:cs="Arial"/>
                <w:sz w:val="24"/>
                <w:szCs w:val="24"/>
              </w:rPr>
              <w:t>in each case wherever chargeable and whether of the United Kingdom and any other jurisdiction;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"Termination Notice"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written notice of termination given by one Party to the other, notifying the Party receiving the notice of the intention of the Party giving the notice to terminate a Contract on a specified date and setting out the grounds for ter</w:t>
            </w:r>
            <w:r>
              <w:rPr>
                <w:rFonts w:ascii="Arial" w:eastAsia="Arial" w:hAnsi="Arial" w:cs="Arial"/>
                <w:color w:val="000000"/>
                <w:sz w:val="24"/>
                <w:szCs w:val="24"/>
              </w:rPr>
              <w:t>mination;</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"Test Issue"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variance or non-conformity of the Deliverables from their requirements as set out in a Call-Off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"Test Plan"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plan:</w:t>
            </w:r>
          </w:p>
          <w:p w:rsidR="00CB1396" w:rsidRDefault="00B823E2">
            <w:pPr>
              <w:pStyle w:val="Standard"/>
              <w:numPr>
                <w:ilvl w:val="0"/>
                <w:numId w:val="45"/>
              </w:numPr>
              <w:tabs>
                <w:tab w:val="left" w:pos="144"/>
                <w:tab w:val="left" w:pos="861"/>
              </w:tabs>
              <w:jc w:val="both"/>
            </w:pPr>
            <w:r>
              <w:rPr>
                <w:rFonts w:ascii="Arial" w:eastAsia="Arial" w:hAnsi="Arial" w:cs="Arial"/>
                <w:color w:val="000000"/>
                <w:sz w:val="24"/>
                <w:szCs w:val="24"/>
              </w:rPr>
              <w:t>for the Testing of the Deliverables; and</w:t>
            </w:r>
          </w:p>
          <w:p w:rsidR="00CB1396" w:rsidRDefault="00B823E2">
            <w:pPr>
              <w:pStyle w:val="Standard"/>
              <w:numPr>
                <w:ilvl w:val="0"/>
                <w:numId w:val="10"/>
              </w:numPr>
              <w:tabs>
                <w:tab w:val="left" w:pos="144"/>
                <w:tab w:val="left" w:pos="861"/>
              </w:tabs>
              <w:spacing w:after="120" w:line="240" w:lineRule="auto"/>
              <w:jc w:val="both"/>
            </w:pPr>
            <w:r>
              <w:rPr>
                <w:rFonts w:ascii="Arial" w:eastAsia="Arial" w:hAnsi="Arial" w:cs="Arial"/>
                <w:color w:val="000000"/>
                <w:sz w:val="24"/>
                <w:szCs w:val="24"/>
              </w:rPr>
              <w:t xml:space="preserve">setting out other agreed criteria related to the </w:t>
            </w:r>
            <w:r>
              <w:rPr>
                <w:rFonts w:ascii="Arial" w:eastAsia="Arial" w:hAnsi="Arial" w:cs="Arial"/>
                <w:color w:val="000000"/>
                <w:sz w:val="24"/>
                <w:szCs w:val="24"/>
              </w:rPr>
              <w:t>achievement of Milestones;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"Tests "</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"Third Party IPR"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"Transferring Supplier Employees"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those employees of the Supplier and/or the Supplier’s Subcontractors to whom the </w:t>
            </w:r>
            <w:r>
              <w:rPr>
                <w:rFonts w:ascii="Arial" w:eastAsia="Arial" w:hAnsi="Arial" w:cs="Arial"/>
                <w:color w:val="000000"/>
                <w:sz w:val="24"/>
                <w:szCs w:val="24"/>
              </w:rPr>
              <w:t>Employment Regulations will apply on the Service Transfer Date;</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spacing w:after="120" w:line="240" w:lineRule="auto"/>
              <w:ind w:left="-108"/>
            </w:pPr>
            <w:r>
              <w:rPr>
                <w:rFonts w:ascii="Arial" w:eastAsia="Arial" w:hAnsi="Arial" w:cs="Arial"/>
                <w:b/>
                <w:color w:val="000000"/>
                <w:sz w:val="24"/>
                <w:szCs w:val="24"/>
              </w:rPr>
              <w:t>"Transparency Information"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keepNext/>
              <w:tabs>
                <w:tab w:val="left" w:pos="-179"/>
                <w:tab w:val="left" w:pos="-9"/>
              </w:tabs>
              <w:spacing w:after="120" w:line="240" w:lineRule="auto"/>
              <w:jc w:val="both"/>
            </w:pPr>
            <w:r>
              <w:rPr>
                <w:rFonts w:ascii="Arial" w:eastAsia="Arial" w:hAnsi="Arial" w:cs="Arial"/>
                <w:color w:val="000000"/>
                <w:sz w:val="24"/>
                <w:szCs w:val="24"/>
              </w:rPr>
              <w:t>the Transparency Reports and the content of a Contract, including any changes to this Contract agreed from time to time, except for –</w:t>
            </w:r>
          </w:p>
          <w:p w:rsidR="00CB1396" w:rsidRDefault="00B823E2">
            <w:pPr>
              <w:pStyle w:val="Standard"/>
              <w:keepNext/>
              <w:tabs>
                <w:tab w:val="left" w:pos="541"/>
                <w:tab w:val="left" w:pos="711"/>
              </w:tabs>
              <w:spacing w:after="120" w:line="240" w:lineRule="auto"/>
              <w:ind w:left="720"/>
              <w:jc w:val="both"/>
            </w:pPr>
            <w:r>
              <w:rPr>
                <w:rFonts w:ascii="Arial" w:eastAsia="Arial" w:hAnsi="Arial" w:cs="Arial"/>
                <w:color w:val="000000"/>
                <w:sz w:val="24"/>
                <w:szCs w:val="24"/>
              </w:rPr>
              <w:t>(i)</w:t>
            </w:r>
            <w:r>
              <w:rPr>
                <w:rFonts w:ascii="Arial" w:eastAsia="Arial" w:hAnsi="Arial" w:cs="Arial"/>
                <w:color w:val="000000"/>
                <w:sz w:val="24"/>
                <w:szCs w:val="24"/>
              </w:rPr>
              <w:tab/>
              <w:t>any information which is</w:t>
            </w:r>
            <w:r>
              <w:rPr>
                <w:rFonts w:ascii="Arial" w:eastAsia="Arial" w:hAnsi="Arial" w:cs="Arial"/>
                <w:color w:val="000000"/>
                <w:sz w:val="24"/>
                <w:szCs w:val="24"/>
              </w:rPr>
              <w:t xml:space="preserve"> exempt from disclosure in accordance with the provisions of the FOIA, which shall be determined by the Relevant Authority; and</w:t>
            </w:r>
          </w:p>
          <w:p w:rsidR="00CB1396" w:rsidRDefault="00B823E2">
            <w:pPr>
              <w:pStyle w:val="Standard"/>
              <w:keepNext/>
              <w:tabs>
                <w:tab w:val="left" w:pos="541"/>
                <w:tab w:val="left" w:pos="711"/>
              </w:tabs>
              <w:spacing w:after="120" w:line="240" w:lineRule="auto"/>
              <w:ind w:left="720"/>
              <w:jc w:val="both"/>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rsidR="00CB1396" w:rsidRDefault="00CB1396">
            <w:pPr>
              <w:pStyle w:val="Standard"/>
              <w:keepNext/>
              <w:tabs>
                <w:tab w:val="left" w:pos="-179"/>
                <w:tab w:val="left" w:pos="-9"/>
              </w:tabs>
              <w:spacing w:after="120" w:line="240" w:lineRule="auto"/>
              <w:jc w:val="both"/>
              <w:rPr>
                <w:rFonts w:ascii="Arial" w:eastAsia="Arial" w:hAnsi="Arial" w:cs="Arial"/>
                <w:color w:val="000000"/>
                <w:sz w:val="24"/>
                <w:szCs w:val="24"/>
              </w:rPr>
            </w:pP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"Transparency Reports"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information relating to the Deliverables and performance o</w:t>
            </w:r>
            <w:r>
              <w:rPr>
                <w:rFonts w:ascii="Arial" w:eastAsia="Arial" w:hAnsi="Arial" w:cs="Arial"/>
                <w:color w:val="000000"/>
                <w:sz w:val="24"/>
                <w:szCs w:val="24"/>
              </w:rPr>
              <w:t>f the Contracts which the Supplier is required to provide to the Buyer in accordance with the reporting requirements in Call-Off Schedule 1 (Transparency Reports);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"Variation"</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any change to a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"Variation Form"</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the form set out in Joint Schedule </w:t>
            </w:r>
            <w:r>
              <w:rPr>
                <w:rFonts w:ascii="Arial" w:eastAsia="Arial" w:hAnsi="Arial" w:cs="Arial"/>
                <w:color w:val="000000"/>
                <w:sz w:val="24"/>
                <w:szCs w:val="24"/>
              </w:rPr>
              <w:t>2 (Variation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"Variation Procedure"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procedure set out in Clause 24 (Changing the contract);</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"VAT"</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value added tax in accordance with the provisions of the Value Added Tax Act 1994;</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"VCSE"</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a non-governmental organisation that is value-driven an</w:t>
            </w:r>
            <w:r>
              <w:rPr>
                <w:rFonts w:ascii="Arial" w:eastAsia="Arial" w:hAnsi="Arial" w:cs="Arial"/>
                <w:color w:val="000000"/>
                <w:sz w:val="24"/>
                <w:szCs w:val="24"/>
              </w:rPr>
              <w:t>d which principally reinvests its surpluses to further social, environmental or cultural objectives;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"Worker"</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one of the Supplier Staff which the Buyer, in its reasonable opinion, considers is an individual to which Procurement Policy Note 08/15 (Tax </w:t>
            </w:r>
            <w:r>
              <w:rPr>
                <w:rFonts w:ascii="Arial" w:eastAsia="Arial" w:hAnsi="Arial" w:cs="Arial"/>
                <w:color w:val="000000"/>
                <w:sz w:val="24"/>
                <w:szCs w:val="24"/>
              </w:rPr>
              <w:t>Arrangements of Public Appointees) (https://www.gov.uk/government/publications/procurement-policy-note-0815-tax-arrangements-of-appointees) applies in respect of the Deliverables;</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"Working Day"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 xml:space="preserve">any day other than a Saturday or Sunday or public holiday in </w:t>
            </w:r>
            <w:r>
              <w:rPr>
                <w:rFonts w:ascii="Arial" w:eastAsia="Arial" w:hAnsi="Arial" w:cs="Arial"/>
                <w:color w:val="000000"/>
                <w:sz w:val="24"/>
                <w:szCs w:val="24"/>
              </w:rPr>
              <w:t>England and Wales unless specified otherwise by the Parties in the Order Form;</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"Work Day"</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8.0 Work Hours, whether or not such hours are worked consecutively and whether or not they are worked on the same day; and</w:t>
            </w:r>
          </w:p>
        </w:tc>
      </w:tr>
      <w:tr w:rsidR="00CB1396">
        <w:tblPrEx>
          <w:tblCellMar>
            <w:top w:w="0" w:type="dxa"/>
            <w:bottom w:w="0" w:type="dxa"/>
          </w:tblCellMar>
        </w:tblPrEx>
        <w:tc>
          <w:tcPr>
            <w:tcW w:w="32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spacing w:after="120" w:line="240" w:lineRule="auto"/>
              <w:ind w:left="-108"/>
            </w:pPr>
            <w:r>
              <w:rPr>
                <w:rFonts w:ascii="Arial" w:eastAsia="Arial" w:hAnsi="Arial" w:cs="Arial"/>
                <w:b/>
                <w:color w:val="000000"/>
                <w:sz w:val="24"/>
                <w:szCs w:val="24"/>
              </w:rPr>
              <w:t>"Work Hours"</w:t>
            </w:r>
          </w:p>
        </w:tc>
        <w:tc>
          <w:tcPr>
            <w:tcW w:w="759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CB1396" w:rsidRDefault="00B823E2">
            <w:pPr>
              <w:pStyle w:val="Standard"/>
              <w:tabs>
                <w:tab w:val="left" w:pos="-179"/>
                <w:tab w:val="left" w:pos="-9"/>
              </w:tabs>
              <w:spacing w:after="120" w:line="240" w:lineRule="auto"/>
              <w:jc w:val="both"/>
            </w:pPr>
            <w:r>
              <w:rPr>
                <w:rFonts w:ascii="Arial" w:eastAsia="Arial" w:hAnsi="Arial" w:cs="Arial"/>
                <w:color w:val="000000"/>
                <w:sz w:val="24"/>
                <w:szCs w:val="24"/>
              </w:rPr>
              <w:t>the hours spent by the Suppl</w:t>
            </w:r>
            <w:r>
              <w:rPr>
                <w:rFonts w:ascii="Arial" w:eastAsia="Arial" w:hAnsi="Arial" w:cs="Arial"/>
                <w:color w:val="000000"/>
                <w:sz w:val="24"/>
                <w:szCs w:val="24"/>
              </w:rPr>
              <w:t>ier Staff properly working on the provision of the Deliverables including time spent travelling (other than to and from the Supplier's offices, or to and from the Sites) but excluding lunch breaks.</w:t>
            </w:r>
          </w:p>
        </w:tc>
      </w:tr>
    </w:tbl>
    <w:p w:rsidR="00CB1396" w:rsidRDefault="00CB1396">
      <w:pPr>
        <w:pStyle w:val="Standard"/>
        <w:spacing w:after="0" w:line="240" w:lineRule="auto"/>
      </w:pPr>
    </w:p>
    <w:sectPr w:rsidR="00CB1396">
      <w:headerReference w:type="default" r:id="rId9"/>
      <w:footerReference w:type="default" r:id="rId10"/>
      <w:pgSz w:w="11906" w:h="16838"/>
      <w:pgMar w:top="1440" w:right="1440" w:bottom="1440" w:left="1440"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3E2" w:rsidRDefault="00B823E2">
      <w:r>
        <w:separator/>
      </w:r>
    </w:p>
  </w:endnote>
  <w:endnote w:type="continuationSeparator" w:id="0">
    <w:p w:rsidR="00B823E2" w:rsidRDefault="00B8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197" w:rsidRDefault="00B823E2">
    <w:pPr>
      <w:pStyle w:val="Standard"/>
      <w:tabs>
        <w:tab w:val="center" w:pos="4513"/>
        <w:tab w:val="right" w:pos="9026"/>
      </w:tabs>
      <w:spacing w:after="0" w:line="240" w:lineRule="auto"/>
    </w:pPr>
    <w:r>
      <w:rPr>
        <w:rFonts w:ascii="Arial" w:eastAsia="Arial" w:hAnsi="Arial" w:cs="Arial"/>
        <w:sz w:val="20"/>
        <w:szCs w:val="20"/>
      </w:rPr>
      <w:t>Framework Ref: RM6188</w:t>
    </w:r>
    <w:r>
      <w:rPr>
        <w:rFonts w:ascii="Arial" w:eastAsia="Arial" w:hAnsi="Arial" w:cs="Arial"/>
        <w:sz w:val="20"/>
        <w:szCs w:val="20"/>
      </w:rPr>
      <w:tab/>
      <w:t xml:space="preserve">                                           </w:t>
    </w:r>
  </w:p>
  <w:p w:rsidR="00070197" w:rsidRDefault="00B823E2">
    <w:pPr>
      <w:pStyle w:val="Standard"/>
      <w:tabs>
        <w:tab w:val="center" w:pos="4513"/>
        <w:tab w:val="right" w:pos="9026"/>
      </w:tabs>
      <w:spacing w:after="0" w:line="240" w:lineRule="auto"/>
    </w:pPr>
    <w:r>
      <w:rPr>
        <w:rFonts w:ascii="Arial" w:eastAsia="Arial" w:hAnsi="Arial" w:cs="Arial"/>
        <w:sz w:val="20"/>
        <w:szCs w:val="20"/>
      </w:rPr>
      <w:t>Model</w:t>
    </w:r>
    <w:r>
      <w:rPr>
        <w:rFonts w:ascii="Arial" w:eastAsia="Arial" w:hAnsi="Arial" w:cs="Arial"/>
        <w:color w:val="000000"/>
        <w:sz w:val="20"/>
        <w:szCs w:val="20"/>
      </w:rPr>
      <w:t xml:space="preserve"> V</w:t>
    </w:r>
    <w:r>
      <w:rPr>
        <w:rFonts w:ascii="Arial" w:eastAsia="Arial" w:hAnsi="Arial" w:cs="Arial"/>
        <w:color w:val="000000"/>
        <w:sz w:val="20"/>
        <w:szCs w:val="20"/>
      </w:rPr>
      <w:t>ersion: v</w:t>
    </w:r>
    <w:r>
      <w:rPr>
        <w:rFonts w:ascii="Arial" w:eastAsia="Arial" w:hAnsi="Arial" w:cs="Arial"/>
        <w:sz w:val="20"/>
        <w:szCs w:val="20"/>
      </w:rPr>
      <w:t>.3.8 v2</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12</w:t>
    </w:r>
    <w:r>
      <w:fldChar w:fldCharType="end"/>
    </w:r>
  </w:p>
  <w:p w:rsidR="00070197" w:rsidRDefault="00B823E2">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3E2" w:rsidRDefault="00B823E2">
      <w:r>
        <w:rPr>
          <w:color w:val="000000"/>
        </w:rPr>
        <w:separator/>
      </w:r>
    </w:p>
  </w:footnote>
  <w:footnote w:type="continuationSeparator" w:id="0">
    <w:p w:rsidR="00B823E2" w:rsidRDefault="00B82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197" w:rsidRDefault="00B823E2">
    <w:pPr>
      <w:pStyle w:val="Standard"/>
      <w:tabs>
        <w:tab w:val="center" w:pos="4513"/>
        <w:tab w:val="right" w:pos="9026"/>
      </w:tabs>
      <w:spacing w:after="0" w:line="240" w:lineRule="auto"/>
    </w:pPr>
    <w:r>
      <w:rPr>
        <w:rFonts w:ascii="Arial" w:eastAsia="Arial" w:hAnsi="Arial" w:cs="Arial"/>
        <w:b/>
        <w:color w:val="000000"/>
        <w:sz w:val="20"/>
        <w:szCs w:val="20"/>
      </w:rPr>
      <w:t>Joint Schedule 1 (Definitions)</w:t>
    </w:r>
  </w:p>
  <w:p w:rsidR="00070197" w:rsidRDefault="00B823E2">
    <w:pPr>
      <w:pStyle w:val="Standard"/>
      <w:tabs>
        <w:tab w:val="left" w:pos="3800"/>
        <w:tab w:val="center" w:pos="4513"/>
        <w:tab w:val="right" w:pos="9026"/>
      </w:tabs>
      <w:spacing w:after="0" w:line="240" w:lineRule="auto"/>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647"/>
    <w:multiLevelType w:val="multilevel"/>
    <w:tmpl w:val="A914F30A"/>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0E7C00"/>
    <w:multiLevelType w:val="multilevel"/>
    <w:tmpl w:val="9A02ADD4"/>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EA7464B"/>
    <w:multiLevelType w:val="multilevel"/>
    <w:tmpl w:val="E9829FE8"/>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1B320FA"/>
    <w:multiLevelType w:val="multilevel"/>
    <w:tmpl w:val="9B464E26"/>
    <w:styleLink w:val="WWNum19"/>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1B2E62"/>
    <w:multiLevelType w:val="multilevel"/>
    <w:tmpl w:val="50F65C34"/>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A2050CE"/>
    <w:multiLevelType w:val="multilevel"/>
    <w:tmpl w:val="832E0E64"/>
    <w:styleLink w:val="WWNum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A22257B"/>
    <w:multiLevelType w:val="multilevel"/>
    <w:tmpl w:val="0F5A2DDE"/>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2AF5262F"/>
    <w:multiLevelType w:val="multilevel"/>
    <w:tmpl w:val="04A46E00"/>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D0A0591"/>
    <w:multiLevelType w:val="multilevel"/>
    <w:tmpl w:val="600069A4"/>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F99335E"/>
    <w:multiLevelType w:val="multilevel"/>
    <w:tmpl w:val="A6AA7082"/>
    <w:styleLink w:val="WWNum1"/>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 w15:restartNumberingAfterBreak="0">
    <w:nsid w:val="338D7910"/>
    <w:multiLevelType w:val="multilevel"/>
    <w:tmpl w:val="737843C6"/>
    <w:styleLink w:val="WWNum20"/>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7F43C09"/>
    <w:multiLevelType w:val="multilevel"/>
    <w:tmpl w:val="DD000ADA"/>
    <w:styleLink w:val="WWNum1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3F86461D"/>
    <w:multiLevelType w:val="multilevel"/>
    <w:tmpl w:val="35B02728"/>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23240DF"/>
    <w:multiLevelType w:val="multilevel"/>
    <w:tmpl w:val="DE7CC3C0"/>
    <w:styleLink w:val="WWNum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4C457FF"/>
    <w:multiLevelType w:val="multilevel"/>
    <w:tmpl w:val="40B499DE"/>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8441F4D"/>
    <w:multiLevelType w:val="multilevel"/>
    <w:tmpl w:val="2E189FC6"/>
    <w:styleLink w:val="WWNum2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CAD3C1A"/>
    <w:multiLevelType w:val="multilevel"/>
    <w:tmpl w:val="00C28300"/>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A8F78B5"/>
    <w:multiLevelType w:val="multilevel"/>
    <w:tmpl w:val="276EFB50"/>
    <w:styleLink w:val="WWNum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5C976765"/>
    <w:multiLevelType w:val="multilevel"/>
    <w:tmpl w:val="C9788826"/>
    <w:styleLink w:val="WWNum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62D8515F"/>
    <w:multiLevelType w:val="multilevel"/>
    <w:tmpl w:val="D988B11A"/>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44164E0"/>
    <w:multiLevelType w:val="multilevel"/>
    <w:tmpl w:val="6ED0798A"/>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4502263"/>
    <w:multiLevelType w:val="multilevel"/>
    <w:tmpl w:val="B67C2E7C"/>
    <w:styleLink w:val="WWNum16"/>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68194E63"/>
    <w:multiLevelType w:val="multilevel"/>
    <w:tmpl w:val="BFE2DC1C"/>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B9D7F55"/>
    <w:multiLevelType w:val="multilevel"/>
    <w:tmpl w:val="4F643540"/>
    <w:styleLink w:val="WWNum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9"/>
  </w:num>
  <w:num w:numId="2">
    <w:abstractNumId w:val="18"/>
  </w:num>
  <w:num w:numId="3">
    <w:abstractNumId w:val="17"/>
  </w:num>
  <w:num w:numId="4">
    <w:abstractNumId w:val="23"/>
  </w:num>
  <w:num w:numId="5">
    <w:abstractNumId w:val="5"/>
  </w:num>
  <w:num w:numId="6">
    <w:abstractNumId w:val="12"/>
  </w:num>
  <w:num w:numId="7">
    <w:abstractNumId w:val="14"/>
  </w:num>
  <w:num w:numId="8">
    <w:abstractNumId w:val="13"/>
  </w:num>
  <w:num w:numId="9">
    <w:abstractNumId w:val="6"/>
  </w:num>
  <w:num w:numId="10">
    <w:abstractNumId w:val="2"/>
  </w:num>
  <w:num w:numId="11">
    <w:abstractNumId w:val="0"/>
  </w:num>
  <w:num w:numId="12">
    <w:abstractNumId w:val="8"/>
  </w:num>
  <w:num w:numId="13">
    <w:abstractNumId w:val="7"/>
  </w:num>
  <w:num w:numId="14">
    <w:abstractNumId w:val="11"/>
  </w:num>
  <w:num w:numId="15">
    <w:abstractNumId w:val="22"/>
  </w:num>
  <w:num w:numId="16">
    <w:abstractNumId w:val="21"/>
  </w:num>
  <w:num w:numId="17">
    <w:abstractNumId w:val="19"/>
  </w:num>
  <w:num w:numId="18">
    <w:abstractNumId w:val="20"/>
  </w:num>
  <w:num w:numId="19">
    <w:abstractNumId w:val="3"/>
  </w:num>
  <w:num w:numId="20">
    <w:abstractNumId w:val="10"/>
  </w:num>
  <w:num w:numId="21">
    <w:abstractNumId w:val="16"/>
  </w:num>
  <w:num w:numId="22">
    <w:abstractNumId w:val="1"/>
  </w:num>
  <w:num w:numId="23">
    <w:abstractNumId w:val="4"/>
  </w:num>
  <w:num w:numId="24">
    <w:abstractNumId w:val="15"/>
  </w:num>
  <w:num w:numId="25">
    <w:abstractNumId w:val="21"/>
    <w:lvlOverride w:ilvl="0">
      <w:startOverride w:val="1"/>
    </w:lvlOverride>
  </w:num>
  <w:num w:numId="26">
    <w:abstractNumId w:val="11"/>
    <w:lvlOverride w:ilvl="0">
      <w:startOverride w:val="1"/>
    </w:lvlOverride>
  </w:num>
  <w:num w:numId="27">
    <w:abstractNumId w:val="5"/>
    <w:lvlOverride w:ilvl="0">
      <w:startOverride w:val="1"/>
    </w:lvlOverride>
  </w:num>
  <w:num w:numId="28">
    <w:abstractNumId w:val="13"/>
    <w:lvlOverride w:ilvl="0">
      <w:startOverride w:val="1"/>
    </w:lvlOverride>
  </w:num>
  <w:num w:numId="29">
    <w:abstractNumId w:val="9"/>
    <w:lvlOverride w:ilvl="0">
      <w:startOverride w:val="1"/>
    </w:lvlOverride>
  </w:num>
  <w:num w:numId="30">
    <w:abstractNumId w:val="8"/>
    <w:lvlOverride w:ilvl="0">
      <w:startOverride w:val="1"/>
    </w:lvlOverride>
  </w:num>
  <w:num w:numId="31">
    <w:abstractNumId w:val="22"/>
    <w:lvlOverride w:ilvl="0">
      <w:startOverride w:val="1"/>
    </w:lvlOverride>
  </w:num>
  <w:num w:numId="32">
    <w:abstractNumId w:val="19"/>
    <w:lvlOverride w:ilvl="0">
      <w:startOverride w:val="1"/>
    </w:lvlOverride>
  </w:num>
  <w:num w:numId="33">
    <w:abstractNumId w:val="1"/>
    <w:lvlOverride w:ilvl="0">
      <w:startOverride w:val="1"/>
    </w:lvlOverride>
  </w:num>
  <w:num w:numId="34">
    <w:abstractNumId w:val="4"/>
    <w:lvlOverride w:ilvl="0">
      <w:startOverride w:val="1"/>
    </w:lvlOverride>
  </w:num>
  <w:num w:numId="35">
    <w:abstractNumId w:val="15"/>
    <w:lvlOverride w:ilvl="0">
      <w:startOverride w:val="1"/>
    </w:lvlOverride>
  </w:num>
  <w:num w:numId="36">
    <w:abstractNumId w:val="17"/>
    <w:lvlOverride w:ilvl="0">
      <w:startOverride w:val="1"/>
    </w:lvlOverride>
  </w:num>
  <w:num w:numId="37">
    <w:abstractNumId w:val="6"/>
    <w:lvlOverride w:ilvl="0">
      <w:startOverride w:val="1"/>
    </w:lvlOverride>
  </w:num>
  <w:num w:numId="38">
    <w:abstractNumId w:val="23"/>
    <w:lvlOverride w:ilvl="0">
      <w:startOverride w:val="1"/>
    </w:lvlOverride>
  </w:num>
  <w:num w:numId="39">
    <w:abstractNumId w:val="20"/>
    <w:lvlOverride w:ilvl="0">
      <w:startOverride w:val="1"/>
    </w:lvlOverride>
  </w:num>
  <w:num w:numId="40">
    <w:abstractNumId w:val="12"/>
    <w:lvlOverride w:ilvl="0">
      <w:startOverride w:val="1"/>
    </w:lvlOverride>
  </w:num>
  <w:num w:numId="41">
    <w:abstractNumId w:val="14"/>
    <w:lvlOverride w:ilvl="0">
      <w:startOverride w:val="1"/>
    </w:lvlOverride>
  </w:num>
  <w:num w:numId="42">
    <w:abstractNumId w:val="18"/>
    <w:lvlOverride w:ilvl="0">
      <w:startOverride w:val="1"/>
    </w:lvlOverride>
  </w:num>
  <w:num w:numId="43">
    <w:abstractNumId w:val="16"/>
    <w:lvlOverride w:ilvl="0">
      <w:startOverride w:val="1"/>
    </w:lvlOverride>
  </w:num>
  <w:num w:numId="44">
    <w:abstractNumId w:val="7"/>
    <w:lvlOverride w:ilvl="0">
      <w:startOverride w:val="1"/>
    </w:lvlOverride>
  </w:num>
  <w:num w:numId="4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B1396"/>
    <w:rsid w:val="00B823E2"/>
    <w:rsid w:val="00CB1396"/>
    <w:rsid w:val="00EF2F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sz w:val="24"/>
      <w:szCs w:val="24"/>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u w:val="none"/>
    </w:rPr>
  </w:style>
  <w:style w:type="character" w:customStyle="1" w:styleId="ListLabel20">
    <w:name w:val="ListLabel 20"/>
    <w:rPr>
      <w:u w:val="none"/>
    </w:rPr>
  </w:style>
  <w:style w:type="character" w:customStyle="1" w:styleId="ListLabel21">
    <w:name w:val="ListLabel 21"/>
    <w:rPr>
      <w:u w:val="none"/>
    </w:rPr>
  </w:style>
  <w:style w:type="character" w:customStyle="1" w:styleId="ListLabel22">
    <w:name w:val="ListLabel 22"/>
    <w:rPr>
      <w:u w:val="none"/>
    </w:rPr>
  </w:style>
  <w:style w:type="character" w:customStyle="1" w:styleId="ListLabel23">
    <w:name w:val="ListLabel 23"/>
    <w:rPr>
      <w:u w:val="none"/>
    </w:rPr>
  </w:style>
  <w:style w:type="character" w:customStyle="1" w:styleId="ListLabel24">
    <w:name w:val="ListLabel 24"/>
    <w:rPr>
      <w:u w:val="none"/>
    </w:rPr>
  </w:style>
  <w:style w:type="character" w:customStyle="1" w:styleId="ListLabel25">
    <w:name w:val="ListLabel 25"/>
    <w:rPr>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rFonts w:eastAsia="Arial" w:cs="Arial"/>
      <w:sz w:val="24"/>
      <w:szCs w:val="24"/>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u w:val="none"/>
    </w:rPr>
  </w:style>
  <w:style w:type="character" w:customStyle="1" w:styleId="ListLabel37">
    <w:name w:val="ListLabel 37"/>
    <w:rPr>
      <w:rFonts w:eastAsia="Arial" w:cs="Arial"/>
      <w:sz w:val="24"/>
      <w:szCs w:val="24"/>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rFonts w:eastAsia="Arial" w:cs="Arial"/>
      <w:sz w:val="24"/>
      <w:szCs w:val="24"/>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u w:val="none"/>
    </w:rPr>
  </w:style>
  <w:style w:type="character" w:customStyle="1" w:styleId="ListLabel55">
    <w:name w:val="ListLabel 55"/>
    <w:rPr>
      <w:rFonts w:eastAsia="Arial" w:cs="Arial"/>
      <w:sz w:val="24"/>
      <w:szCs w:val="24"/>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u w:val="none"/>
    </w:rPr>
  </w:style>
  <w:style w:type="character" w:customStyle="1" w:styleId="ListLabel64">
    <w:name w:val="ListLabel 64"/>
    <w:rPr>
      <w:rFonts w:eastAsia="Arial" w:cs="Arial"/>
      <w:sz w:val="24"/>
      <w:szCs w:val="24"/>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u w:val="none"/>
    </w:rPr>
  </w:style>
  <w:style w:type="character" w:customStyle="1" w:styleId="ListLabel73">
    <w:name w:val="ListLabel 73"/>
    <w:rPr>
      <w:rFonts w:eastAsia="Arial" w:cs="Arial"/>
      <w:sz w:val="24"/>
      <w:szCs w:val="24"/>
      <w:u w:val="none"/>
    </w:rPr>
  </w:style>
  <w:style w:type="character" w:customStyle="1" w:styleId="ListLabel74">
    <w:name w:val="ListLabel 74"/>
    <w:rPr>
      <w:u w:val="none"/>
    </w:rPr>
  </w:style>
  <w:style w:type="character" w:customStyle="1" w:styleId="ListLabel75">
    <w:name w:val="ListLabel 75"/>
    <w:rPr>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sz w:val="22"/>
      <w:szCs w:val="22"/>
    </w:rPr>
  </w:style>
  <w:style w:type="character" w:customStyle="1" w:styleId="ListLabel83">
    <w:name w:val="ListLabel 83"/>
    <w:rPr>
      <w:rFonts w:eastAsia="Arial" w:cs="Arial"/>
      <w:b w:val="0"/>
      <w:i w:val="0"/>
      <w:caps w:val="0"/>
      <w:smallCaps w:val="0"/>
      <w:strike w:val="0"/>
      <w:dstrike w:val="0"/>
      <w:color w:val="000000"/>
      <w:position w:val="0"/>
      <w:sz w:val="24"/>
      <w:szCs w:val="24"/>
      <w:u w:val="none"/>
      <w:vertAlign w:val="baseline"/>
    </w:rPr>
  </w:style>
  <w:style w:type="character" w:customStyle="1" w:styleId="ListLabel84">
    <w:name w:val="ListLabel 84"/>
    <w:rPr>
      <w:rFonts w:eastAsia="Arial" w:cs="Arial"/>
      <w:sz w:val="24"/>
      <w:szCs w:val="24"/>
    </w:rPr>
  </w:style>
  <w:style w:type="character" w:customStyle="1" w:styleId="ListLabel85">
    <w:name w:val="ListLabel 85"/>
    <w:rPr>
      <w:rFonts w:eastAsia="Arial" w:cs="Arial"/>
      <w:sz w:val="24"/>
      <w:szCs w:val="24"/>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u w:val="none"/>
    </w:rPr>
  </w:style>
  <w:style w:type="character" w:customStyle="1" w:styleId="ListLabel94">
    <w:name w:val="ListLabel 94"/>
    <w:rPr>
      <w:rFonts w:eastAsia="Arial" w:cs="Arial"/>
      <w:sz w:val="24"/>
      <w:szCs w:val="24"/>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u w:val="none"/>
    </w:rPr>
  </w:style>
  <w:style w:type="character" w:customStyle="1" w:styleId="ListLabel103">
    <w:name w:val="ListLabel 103"/>
    <w:rPr>
      <w:rFonts w:eastAsia="Arial" w:cs="Arial"/>
      <w:sz w:val="24"/>
      <w:szCs w:val="24"/>
    </w:rPr>
  </w:style>
  <w:style w:type="character" w:customStyle="1" w:styleId="ListLabel104">
    <w:name w:val="ListLabel 104"/>
    <w:rPr>
      <w:b w:val="0"/>
      <w:i w:val="0"/>
      <w:caps w:val="0"/>
      <w:smallCaps w:val="0"/>
      <w:strike w:val="0"/>
      <w:dstrike w:val="0"/>
      <w:color w:val="000000"/>
      <w:position w:val="0"/>
      <w:sz w:val="22"/>
      <w:szCs w:val="22"/>
      <w:u w:val="none"/>
      <w:vertAlign w:val="baseline"/>
    </w:rPr>
  </w:style>
  <w:style w:type="character" w:customStyle="1" w:styleId="ListLabel105">
    <w:name w:val="ListLabel 105"/>
    <w:rPr>
      <w:sz w:val="22"/>
      <w:szCs w:val="22"/>
    </w:rPr>
  </w:style>
  <w:style w:type="character" w:customStyle="1" w:styleId="ListLabel106">
    <w:name w:val="ListLabel 106"/>
    <w:rPr>
      <w:rFonts w:eastAsia="Arial" w:cs="Arial"/>
      <w:sz w:val="24"/>
      <w:szCs w:val="24"/>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u w:val="none"/>
    </w:rPr>
  </w:style>
  <w:style w:type="character" w:customStyle="1" w:styleId="ListLabel112">
    <w:name w:val="ListLabel 112"/>
    <w:rPr>
      <w:u w:val="none"/>
    </w:rPr>
  </w:style>
  <w:style w:type="character" w:customStyle="1" w:styleId="ListLabel113">
    <w:name w:val="ListLabel 113"/>
    <w:rPr>
      <w:u w:val="none"/>
    </w:rPr>
  </w:style>
  <w:style w:type="character" w:customStyle="1" w:styleId="ListLabel114">
    <w:name w:val="ListLabel 114"/>
    <w:rPr>
      <w:u w:val="none"/>
    </w:rPr>
  </w:style>
  <w:style w:type="character" w:customStyle="1" w:styleId="ListLabel115">
    <w:name w:val="ListLabel 115"/>
    <w:rPr>
      <w:rFonts w:eastAsia="Arial" w:cs="Arial"/>
      <w:sz w:val="24"/>
      <w:szCs w:val="24"/>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sz w:val="22"/>
      <w:szCs w:val="22"/>
    </w:rPr>
  </w:style>
  <w:style w:type="character" w:customStyle="1" w:styleId="ListLabel118">
    <w:name w:val="ListLabel 118"/>
    <w:rPr>
      <w:rFonts w:eastAsia="Arial" w:cs="Arial"/>
      <w:sz w:val="24"/>
      <w:szCs w:val="24"/>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u w:val="none"/>
    </w:rPr>
  </w:style>
  <w:style w:type="character" w:customStyle="1" w:styleId="ListLabel127">
    <w:name w:val="ListLabel 127"/>
    <w:rPr>
      <w:rFonts w:eastAsia="Arial" w:cs="Arial"/>
      <w:sz w:val="24"/>
      <w:szCs w:val="24"/>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u w:val="none"/>
    </w:rPr>
  </w:style>
  <w:style w:type="character" w:customStyle="1" w:styleId="ListLabel136">
    <w:name w:val="ListLabel 136"/>
    <w:rPr>
      <w:sz w:val="22"/>
      <w:szCs w:val="22"/>
    </w:rPr>
  </w:style>
  <w:style w:type="character" w:customStyle="1" w:styleId="ListLabel137">
    <w:name w:val="ListLabel 137"/>
    <w:rPr>
      <w:rFonts w:eastAsia="Arial" w:cs="Arial"/>
      <w:b w:val="0"/>
      <w:i w:val="0"/>
      <w:caps w:val="0"/>
      <w:smallCaps w:val="0"/>
      <w:strike w:val="0"/>
      <w:dstrike w:val="0"/>
      <w:color w:val="000000"/>
      <w:position w:val="0"/>
      <w:sz w:val="24"/>
      <w:szCs w:val="24"/>
      <w:u w:val="none"/>
      <w:vertAlign w:val="baseline"/>
    </w:rPr>
  </w:style>
  <w:style w:type="character" w:customStyle="1" w:styleId="ListLabel138">
    <w:name w:val="ListLabel 138"/>
    <w:rPr>
      <w:rFonts w:eastAsia="Arial" w:cs="Arial"/>
      <w:sz w:val="24"/>
      <w:szCs w:val="24"/>
    </w:rPr>
  </w:style>
  <w:style w:type="character" w:customStyle="1" w:styleId="ListLabel139">
    <w:name w:val="ListLabel 139"/>
    <w:rPr>
      <w:caps w:val="0"/>
      <w:smallCaps w:val="0"/>
      <w:strike w:val="0"/>
      <w:dstrike w:val="0"/>
      <w:color w:val="000000"/>
      <w:position w:val="0"/>
      <w:sz w:val="22"/>
      <w:szCs w:val="22"/>
      <w:u w:val="none"/>
      <w:vertAlign w:val="baseline"/>
    </w:rPr>
  </w:style>
  <w:style w:type="character" w:customStyle="1" w:styleId="ListLabel140">
    <w:name w:val="ListLabel 140"/>
    <w:rPr>
      <w:rFonts w:eastAsia="Arial" w:cs="Arial"/>
      <w:b w:val="0"/>
      <w:i w:val="0"/>
      <w:caps w:val="0"/>
      <w:smallCaps w:val="0"/>
      <w:strike w:val="0"/>
      <w:dstrike w:val="0"/>
      <w:color w:val="000000"/>
      <w:position w:val="0"/>
      <w:sz w:val="24"/>
      <w:szCs w:val="24"/>
      <w:u w:val="none"/>
      <w:vertAlign w:val="baseline"/>
    </w:rPr>
  </w:style>
  <w:style w:type="character" w:customStyle="1" w:styleId="ListLabel141">
    <w:name w:val="ListLabel 141"/>
    <w:rPr>
      <w:rFonts w:eastAsia="Arial" w:cs="Arial"/>
      <w:b w:val="0"/>
      <w:i w:val="0"/>
      <w:caps w:val="0"/>
      <w:smallCaps w:val="0"/>
      <w:strike w:val="0"/>
      <w:dstrike w:val="0"/>
      <w:color w:val="000000"/>
      <w:position w:val="0"/>
      <w:sz w:val="24"/>
      <w:szCs w:val="24"/>
      <w:u w:val="none"/>
      <w:vertAlign w:val="baseline"/>
    </w:rPr>
  </w:style>
  <w:style w:type="character" w:customStyle="1" w:styleId="ListLabel142">
    <w:name w:val="ListLabel 142"/>
    <w:rPr>
      <w:rFonts w:eastAsia="Arial" w:cs="Arial"/>
      <w:b w:val="0"/>
      <w:i w:val="0"/>
      <w:caps w:val="0"/>
      <w:smallCaps w:val="0"/>
      <w:strike w:val="0"/>
      <w:dstrike w:val="0"/>
      <w:color w:val="000000"/>
      <w:position w:val="0"/>
      <w:sz w:val="24"/>
      <w:szCs w:val="24"/>
      <w:u w:val="none"/>
      <w:vertAlign w:val="baseline"/>
    </w:rPr>
  </w:style>
  <w:style w:type="character" w:customStyle="1" w:styleId="ListLabel143">
    <w:name w:val="ListLabel 143"/>
    <w:rPr>
      <w:b w:val="0"/>
      <w:i w:val="0"/>
      <w:caps w:val="0"/>
      <w:smallCaps w:val="0"/>
      <w:strike w:val="0"/>
      <w:dstrike w:val="0"/>
      <w:color w:val="000000"/>
      <w:position w:val="0"/>
      <w:sz w:val="22"/>
      <w:szCs w:val="22"/>
      <w:u w:val="none"/>
      <w:vertAlign w:val="baseline"/>
    </w:rPr>
  </w:style>
  <w:style w:type="character" w:customStyle="1" w:styleId="ListLabel144">
    <w:name w:val="ListLabel 144"/>
    <w:rPr>
      <w:b w:val="0"/>
      <w:i w:val="0"/>
      <w:caps w:val="0"/>
      <w:smallCaps w:val="0"/>
      <w:strike w:val="0"/>
      <w:dstrike w:val="0"/>
      <w:color w:val="000000"/>
      <w:position w:val="0"/>
      <w:sz w:val="22"/>
      <w:szCs w:val="22"/>
      <w:u w:val="none"/>
      <w:vertAlign w:val="baseline"/>
    </w:rPr>
  </w:style>
  <w:style w:type="character" w:customStyle="1" w:styleId="ListLabel145">
    <w:name w:val="ListLabel 145"/>
    <w:rPr>
      <w:rFonts w:eastAsia="Arial" w:cs="Arial"/>
      <w:sz w:val="24"/>
      <w:szCs w:val="24"/>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u w:val="none"/>
    </w:rPr>
  </w:style>
  <w:style w:type="character" w:customStyle="1" w:styleId="ListLabel154">
    <w:name w:val="ListLabel 154"/>
    <w:rPr>
      <w:rFonts w:eastAsia="Arial" w:cs="Arial"/>
      <w:sz w:val="24"/>
      <w:szCs w:val="24"/>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u w:val="none"/>
    </w:rPr>
  </w:style>
  <w:style w:type="character" w:customStyle="1" w:styleId="ListLabel163">
    <w:name w:val="ListLabel 163"/>
    <w:rPr>
      <w:rFonts w:eastAsia="Arial" w:cs="Arial"/>
      <w:sz w:val="24"/>
      <w:szCs w:val="24"/>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u w:val="none"/>
    </w:rPr>
  </w:style>
  <w:style w:type="character" w:customStyle="1" w:styleId="ListLabel172">
    <w:name w:val="ListLabel 172"/>
    <w:rPr>
      <w:rFonts w:eastAsia="Arial" w:cs="Arial"/>
      <w:sz w:val="24"/>
      <w:szCs w:val="24"/>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u w:val="none"/>
    </w:rPr>
  </w:style>
  <w:style w:type="character" w:customStyle="1" w:styleId="ListLabel181">
    <w:name w:val="ListLabel 181"/>
    <w:rPr>
      <w:rFonts w:ascii="Arial" w:eastAsia="Arial" w:hAnsi="Arial" w:cs="Arial"/>
      <w:color w:val="0000FF"/>
      <w:sz w:val="24"/>
      <w:szCs w:val="24"/>
      <w:u w:val="single"/>
    </w:rPr>
  </w:style>
  <w:style w:type="character" w:customStyle="1" w:styleId="Internetlink">
    <w:name w:val="Internet link"/>
    <w:rPr>
      <w:color w:val="000080"/>
      <w:u w:val="single"/>
      <w:lang/>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9371</Words>
  <Characters>53419</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Paul Brown</cp:lastModifiedBy>
  <cp:revision>2</cp:revision>
  <dcterms:created xsi:type="dcterms:W3CDTF">2023-03-13T15:21:00Z</dcterms:created>
  <dcterms:modified xsi:type="dcterms:W3CDTF">2023-03-13T15:21:00Z</dcterms:modified>
</cp:coreProperties>
</file>